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356E64">
      <w:pPr>
        <w:autoSpaceDE w:val="0"/>
        <w:autoSpaceDN w:val="0"/>
        <w:adjustRightInd w:val="0"/>
        <w:spacing w:line="245" w:lineRule="atLeast"/>
        <w:jc w:val="center"/>
        <w:rPr>
          <w:rFonts w:ascii="宋体" w:hAnsi="宋体" w:cs="宋体"/>
          <w:b/>
          <w:bCs/>
          <w:color w:val="000000" w:themeColor="text1"/>
          <w:kern w:val="0"/>
          <w:sz w:val="28"/>
          <w:szCs w:val="28"/>
          <w:lang w:val="zh-CN"/>
          <w14:textFill>
            <w14:solidFill>
              <w14:schemeClr w14:val="tx1"/>
            </w14:solidFill>
          </w14:textFill>
        </w:rPr>
      </w:pPr>
    </w:p>
    <w:p w14:paraId="6FC7D12D">
      <w:pPr>
        <w:autoSpaceDE w:val="0"/>
        <w:autoSpaceDN w:val="0"/>
        <w:adjustRightInd w:val="0"/>
        <w:spacing w:line="245" w:lineRule="atLeast"/>
        <w:jc w:val="center"/>
        <w:rPr>
          <w:rFonts w:ascii="宋体" w:hAnsi="宋体" w:cs="宋体"/>
          <w:b/>
          <w:bCs/>
          <w:color w:val="000000" w:themeColor="text1"/>
          <w:kern w:val="0"/>
          <w:sz w:val="28"/>
          <w:szCs w:val="28"/>
          <w:lang w:val="zh-CN"/>
          <w14:textFill>
            <w14:solidFill>
              <w14:schemeClr w14:val="tx1"/>
            </w14:solidFill>
          </w14:textFill>
        </w:rPr>
      </w:pPr>
    </w:p>
    <w:p w14:paraId="38F3464A">
      <w:pPr>
        <w:autoSpaceDE w:val="0"/>
        <w:autoSpaceDN w:val="0"/>
        <w:adjustRightInd w:val="0"/>
        <w:spacing w:line="245" w:lineRule="atLeast"/>
        <w:jc w:val="center"/>
        <w:rPr>
          <w:rFonts w:ascii="宋体" w:hAnsi="宋体" w:cs="宋体"/>
          <w:b/>
          <w:bCs/>
          <w:color w:val="000000" w:themeColor="text1"/>
          <w:kern w:val="0"/>
          <w:sz w:val="28"/>
          <w:szCs w:val="28"/>
          <w:lang w:val="zh-CN"/>
          <w14:textFill>
            <w14:solidFill>
              <w14:schemeClr w14:val="tx1"/>
            </w14:solidFill>
          </w14:textFill>
        </w:rPr>
      </w:pPr>
    </w:p>
    <w:p w14:paraId="14CD7C2A">
      <w:pPr>
        <w:autoSpaceDE w:val="0"/>
        <w:autoSpaceDN w:val="0"/>
        <w:adjustRightInd w:val="0"/>
        <w:spacing w:line="245" w:lineRule="atLeast"/>
        <w:jc w:val="center"/>
        <w:rPr>
          <w:rFonts w:ascii="宋体" w:hAnsi="宋体" w:cs="宋体"/>
          <w:b/>
          <w:bCs/>
          <w:color w:val="000000" w:themeColor="text1"/>
          <w:kern w:val="0"/>
          <w:sz w:val="28"/>
          <w:szCs w:val="28"/>
          <w:lang w:val="zh-CN"/>
          <w14:textFill>
            <w14:solidFill>
              <w14:schemeClr w14:val="tx1"/>
            </w14:solidFill>
          </w14:textFill>
        </w:rPr>
      </w:pPr>
    </w:p>
    <w:p w14:paraId="0E041342">
      <w:pPr>
        <w:autoSpaceDE w:val="0"/>
        <w:autoSpaceDN w:val="0"/>
        <w:adjustRightInd w:val="0"/>
        <w:spacing w:line="245" w:lineRule="atLeast"/>
        <w:jc w:val="center"/>
        <w:rPr>
          <w:rFonts w:ascii="宋体" w:hAnsi="宋体" w:cs="宋体"/>
          <w:b/>
          <w:bCs/>
          <w:color w:val="000000" w:themeColor="text1"/>
          <w:kern w:val="0"/>
          <w:sz w:val="24"/>
          <w:lang w:val="zh-CN"/>
          <w14:textFill>
            <w14:solidFill>
              <w14:schemeClr w14:val="tx1"/>
            </w14:solidFill>
          </w14:textFill>
        </w:rPr>
      </w:pPr>
    </w:p>
    <w:p w14:paraId="493CB71C">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cs="宋体"/>
          <w:b/>
          <w:bCs/>
          <w:color w:val="000000" w:themeColor="text1"/>
          <w:kern w:val="0"/>
          <w:sz w:val="48"/>
          <w:szCs w:val="48"/>
          <w:highlight w:val="none"/>
          <w:lang w:val="zh-CN"/>
          <w14:textFill>
            <w14:solidFill>
              <w14:schemeClr w14:val="tx1"/>
            </w14:solidFill>
          </w14:textFill>
        </w:rPr>
      </w:pPr>
      <w:r>
        <w:rPr>
          <w:rFonts w:hint="eastAsia" w:ascii="宋体" w:hAnsi="宋体" w:cs="宋体"/>
          <w:b/>
          <w:bCs/>
          <w:color w:val="000000" w:themeColor="text1"/>
          <w:kern w:val="0"/>
          <w:sz w:val="48"/>
          <w:szCs w:val="48"/>
          <w:highlight w:val="none"/>
          <w:lang w:val="zh-CN"/>
          <w14:textFill>
            <w14:solidFill>
              <w14:schemeClr w14:val="tx1"/>
            </w14:solidFill>
          </w14:textFill>
        </w:rPr>
        <w:t>辽宁建筑职业学院</w:t>
      </w:r>
    </w:p>
    <w:p w14:paraId="499A0D4A">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ascii="宋体" w:hAnsi="宋体" w:cs="宋体"/>
          <w:b/>
          <w:bCs/>
          <w:color w:val="000000" w:themeColor="text1"/>
          <w:kern w:val="0"/>
          <w:sz w:val="48"/>
          <w:szCs w:val="48"/>
          <w:lang w:val="zh-CN"/>
          <w14:textFill>
            <w14:solidFill>
              <w14:schemeClr w14:val="tx1"/>
            </w14:solidFill>
          </w14:textFill>
        </w:rPr>
      </w:pPr>
      <w:r>
        <w:rPr>
          <w:rFonts w:hint="eastAsia" w:ascii="宋体" w:hAnsi="宋体" w:cs="宋体"/>
          <w:b/>
          <w:bCs/>
          <w:color w:val="000000" w:themeColor="text1"/>
          <w:kern w:val="0"/>
          <w:sz w:val="48"/>
          <w:szCs w:val="48"/>
          <w:highlight w:val="none"/>
          <w:lang w:val="zh-CN"/>
          <w14:textFill>
            <w14:solidFill>
              <w14:schemeClr w14:val="tx1"/>
            </w14:solidFill>
          </w14:textFill>
        </w:rPr>
        <w:t>202</w:t>
      </w:r>
      <w:r>
        <w:rPr>
          <w:rFonts w:hint="eastAsia" w:ascii="宋体" w:hAnsi="宋体" w:cs="宋体"/>
          <w:b/>
          <w:bCs/>
          <w:color w:val="000000" w:themeColor="text1"/>
          <w:kern w:val="0"/>
          <w:sz w:val="48"/>
          <w:szCs w:val="48"/>
          <w:highlight w:val="none"/>
          <w:lang w:val="en-US" w:eastAsia="zh-CN"/>
          <w14:textFill>
            <w14:solidFill>
              <w14:schemeClr w14:val="tx1"/>
            </w14:solidFill>
          </w14:textFill>
        </w:rPr>
        <w:t>5届毕业生</w:t>
      </w:r>
      <w:r>
        <w:rPr>
          <w:rFonts w:hint="eastAsia" w:ascii="宋体" w:hAnsi="宋体" w:cs="宋体"/>
          <w:b/>
          <w:bCs/>
          <w:color w:val="000000" w:themeColor="text1"/>
          <w:kern w:val="0"/>
          <w:sz w:val="48"/>
          <w:szCs w:val="48"/>
          <w:highlight w:val="none"/>
          <w:lang w:val="zh-CN"/>
          <w14:textFill>
            <w14:solidFill>
              <w14:schemeClr w14:val="tx1"/>
            </w14:solidFill>
          </w14:textFill>
        </w:rPr>
        <w:t>第三方跟踪调查服务项目</w:t>
      </w:r>
    </w:p>
    <w:p w14:paraId="4458865E">
      <w:pPr>
        <w:widowControl/>
        <w:spacing w:before="168" w:after="168" w:line="524" w:lineRule="atLeast"/>
        <w:jc w:val="center"/>
        <w:rPr>
          <w:rFonts w:ascii="宋体" w:hAnsi="宋体" w:cs="宋体"/>
          <w:b/>
          <w:bCs/>
          <w:color w:val="000000" w:themeColor="text1"/>
          <w:kern w:val="0"/>
          <w:sz w:val="52"/>
          <w:szCs w:val="52"/>
          <w14:textFill>
            <w14:solidFill>
              <w14:schemeClr w14:val="tx1"/>
            </w14:solidFill>
          </w14:textFill>
        </w:rPr>
      </w:pPr>
    </w:p>
    <w:p w14:paraId="723C44A1">
      <w:pPr>
        <w:autoSpaceDE w:val="0"/>
        <w:autoSpaceDN w:val="0"/>
        <w:adjustRightInd w:val="0"/>
        <w:spacing w:line="1200" w:lineRule="atLeast"/>
        <w:jc w:val="center"/>
        <w:rPr>
          <w:rFonts w:ascii="宋体" w:hAnsi="宋体" w:cs="宋体"/>
          <w:color w:val="000000" w:themeColor="text1"/>
          <w:kern w:val="0"/>
          <w:sz w:val="72"/>
          <w:szCs w:val="72"/>
          <w:lang w:val="zh-CN"/>
          <w14:textFill>
            <w14:solidFill>
              <w14:schemeClr w14:val="tx1"/>
            </w14:solidFill>
          </w14:textFill>
        </w:rPr>
      </w:pPr>
    </w:p>
    <w:p w14:paraId="630CB0C7">
      <w:pPr>
        <w:autoSpaceDE w:val="0"/>
        <w:autoSpaceDN w:val="0"/>
        <w:adjustRightInd w:val="0"/>
        <w:spacing w:line="1200" w:lineRule="atLeast"/>
        <w:jc w:val="center"/>
        <w:rPr>
          <w:rFonts w:ascii="宋体" w:hAnsi="宋体" w:cs="宋体"/>
          <w:color w:val="000000" w:themeColor="text1"/>
          <w:kern w:val="0"/>
          <w:sz w:val="48"/>
          <w:szCs w:val="48"/>
          <w:lang w:val="zh-CN"/>
          <w14:textFill>
            <w14:solidFill>
              <w14:schemeClr w14:val="tx1"/>
            </w14:solidFill>
          </w14:textFill>
        </w:rPr>
      </w:pPr>
    </w:p>
    <w:p w14:paraId="3C7C82A3">
      <w:pPr>
        <w:autoSpaceDE w:val="0"/>
        <w:autoSpaceDN w:val="0"/>
        <w:adjustRightInd w:val="0"/>
        <w:jc w:val="center"/>
        <w:rPr>
          <w:rFonts w:ascii="宋体" w:hAnsi="宋体" w:cs="宋体"/>
          <w:b/>
          <w:color w:val="000000" w:themeColor="text1"/>
          <w:kern w:val="0"/>
          <w:sz w:val="36"/>
          <w:szCs w:val="36"/>
          <w:lang w:val="zh-CN"/>
          <w14:textFill>
            <w14:solidFill>
              <w14:schemeClr w14:val="tx1"/>
            </w14:solidFill>
          </w14:textFill>
        </w:rPr>
      </w:pPr>
    </w:p>
    <w:p w14:paraId="102D4A8B">
      <w:pPr>
        <w:autoSpaceDE w:val="0"/>
        <w:autoSpaceDN w:val="0"/>
        <w:adjustRightInd w:val="0"/>
        <w:jc w:val="center"/>
        <w:rPr>
          <w:rFonts w:ascii="宋体" w:hAnsi="宋体" w:cs="宋体"/>
          <w:b/>
          <w:color w:val="000000" w:themeColor="text1"/>
          <w:kern w:val="0"/>
          <w:sz w:val="32"/>
          <w:szCs w:val="32"/>
          <w:lang w:val="zh-CN"/>
          <w14:textFill>
            <w14:solidFill>
              <w14:schemeClr w14:val="tx1"/>
            </w14:solidFill>
          </w14:textFill>
        </w:rPr>
      </w:pPr>
    </w:p>
    <w:p w14:paraId="53028B83">
      <w:pPr>
        <w:autoSpaceDE w:val="0"/>
        <w:autoSpaceDN w:val="0"/>
        <w:adjustRightInd w:val="0"/>
        <w:jc w:val="center"/>
        <w:rPr>
          <w:rFonts w:ascii="宋体" w:hAnsi="宋体" w:cs="宋体"/>
          <w:b/>
          <w:color w:val="000000" w:themeColor="text1"/>
          <w:kern w:val="0"/>
          <w:sz w:val="32"/>
          <w:szCs w:val="32"/>
          <w:lang w:val="zh-CN"/>
          <w14:textFill>
            <w14:solidFill>
              <w14:schemeClr w14:val="tx1"/>
            </w14:solidFill>
          </w14:textFill>
        </w:rPr>
      </w:pPr>
    </w:p>
    <w:p w14:paraId="6FB3799E">
      <w:pPr>
        <w:autoSpaceDE w:val="0"/>
        <w:autoSpaceDN w:val="0"/>
        <w:adjustRightInd w:val="0"/>
        <w:jc w:val="center"/>
        <w:rPr>
          <w:rFonts w:ascii="宋体" w:hAnsi="宋体" w:cs="宋体"/>
          <w:b/>
          <w:color w:val="000000" w:themeColor="text1"/>
          <w:kern w:val="0"/>
          <w:sz w:val="32"/>
          <w:szCs w:val="32"/>
          <w:lang w:val="zh-CN"/>
          <w14:textFill>
            <w14:solidFill>
              <w14:schemeClr w14:val="tx1"/>
            </w14:solidFill>
          </w14:textFill>
        </w:rPr>
      </w:pPr>
    </w:p>
    <w:p w14:paraId="2D6623A0">
      <w:pPr>
        <w:autoSpaceDE w:val="0"/>
        <w:autoSpaceDN w:val="0"/>
        <w:adjustRightInd w:val="0"/>
        <w:jc w:val="center"/>
        <w:rPr>
          <w:rFonts w:ascii="宋体" w:hAnsi="宋体" w:cs="宋体"/>
          <w:b/>
          <w:color w:val="000000" w:themeColor="text1"/>
          <w:kern w:val="0"/>
          <w:sz w:val="32"/>
          <w:szCs w:val="32"/>
          <w:lang w:val="zh-CN"/>
          <w14:textFill>
            <w14:solidFill>
              <w14:schemeClr w14:val="tx1"/>
            </w14:solidFill>
          </w14:textFill>
        </w:rPr>
      </w:pPr>
    </w:p>
    <w:p w14:paraId="1FCF18B7">
      <w:pPr>
        <w:autoSpaceDE w:val="0"/>
        <w:autoSpaceDN w:val="0"/>
        <w:adjustRightInd w:val="0"/>
        <w:jc w:val="center"/>
        <w:rPr>
          <w:rFonts w:ascii="宋体" w:hAnsi="宋体" w:cs="宋体"/>
          <w:b/>
          <w:color w:val="000000" w:themeColor="text1"/>
          <w:kern w:val="0"/>
          <w:sz w:val="32"/>
          <w:szCs w:val="32"/>
          <w:lang w:val="zh-CN"/>
          <w14:textFill>
            <w14:solidFill>
              <w14:schemeClr w14:val="tx1"/>
            </w14:solidFill>
          </w14:textFill>
        </w:rPr>
      </w:pPr>
    </w:p>
    <w:p w14:paraId="150D94DB">
      <w:pPr>
        <w:autoSpaceDE w:val="0"/>
        <w:autoSpaceDN w:val="0"/>
        <w:adjustRightInd w:val="0"/>
        <w:jc w:val="center"/>
        <w:rPr>
          <w:rFonts w:ascii="宋体" w:hAnsi="宋体" w:cs="宋体"/>
          <w:b/>
          <w:color w:val="000000" w:themeColor="text1"/>
          <w:kern w:val="0"/>
          <w:sz w:val="32"/>
          <w:szCs w:val="32"/>
          <w:lang w:val="zh-CN"/>
          <w14:textFill>
            <w14:solidFill>
              <w14:schemeClr w14:val="tx1"/>
            </w14:solidFill>
          </w14:textFill>
        </w:rPr>
      </w:pPr>
    </w:p>
    <w:p w14:paraId="1EC9CF18">
      <w:pPr>
        <w:autoSpaceDE w:val="0"/>
        <w:autoSpaceDN w:val="0"/>
        <w:adjustRightInd w:val="0"/>
        <w:jc w:val="center"/>
        <w:rPr>
          <w:rFonts w:ascii="宋体" w:hAnsi="宋体" w:cs="宋体"/>
          <w:b/>
          <w:color w:val="000000" w:themeColor="text1"/>
          <w:kern w:val="0"/>
          <w:sz w:val="36"/>
          <w:szCs w:val="36"/>
          <w:lang w:val="zh-CN"/>
          <w14:textFill>
            <w14:solidFill>
              <w14:schemeClr w14:val="tx1"/>
            </w14:solidFill>
          </w14:textFill>
        </w:rPr>
      </w:pPr>
    </w:p>
    <w:p w14:paraId="5F67C39F">
      <w:pPr>
        <w:autoSpaceDE w:val="0"/>
        <w:autoSpaceDN w:val="0"/>
        <w:adjustRightInd w:val="0"/>
        <w:spacing w:before="240" w:beforeLines="100"/>
        <w:jc w:val="center"/>
        <w:rPr>
          <w:rFonts w:hint="eastAsia" w:ascii="宋体" w:hAnsi="宋体" w:cs="宋体"/>
          <w:b/>
          <w:color w:val="000000" w:themeColor="text1"/>
          <w:kern w:val="0"/>
          <w:sz w:val="36"/>
          <w:szCs w:val="36"/>
          <w:lang w:val="en-US" w:eastAsia="zh-CN"/>
          <w14:textFill>
            <w14:solidFill>
              <w14:schemeClr w14:val="tx1"/>
            </w14:solidFill>
          </w14:textFill>
        </w:rPr>
      </w:pPr>
      <w:r>
        <w:rPr>
          <w:rFonts w:hint="eastAsia" w:ascii="宋体" w:hAnsi="宋体" w:cs="宋体"/>
          <w:b/>
          <w:color w:val="000000" w:themeColor="text1"/>
          <w:kern w:val="0"/>
          <w:sz w:val="36"/>
          <w:szCs w:val="36"/>
          <w:lang w:val="en-US" w:eastAsia="zh-CN"/>
          <w14:textFill>
            <w14:solidFill>
              <w14:schemeClr w14:val="tx1"/>
            </w14:solidFill>
          </w14:textFill>
        </w:rPr>
        <w:t>大学生就业服务中心</w:t>
      </w:r>
    </w:p>
    <w:p w14:paraId="01BBB16A">
      <w:pPr>
        <w:autoSpaceDE w:val="0"/>
        <w:autoSpaceDN w:val="0"/>
        <w:adjustRightInd w:val="0"/>
        <w:spacing w:before="240" w:beforeLines="100"/>
        <w:jc w:val="center"/>
        <w:rPr>
          <w:rFonts w:ascii="宋体" w:hAnsi="宋体" w:cs="宋体"/>
          <w:b/>
          <w:color w:val="000000" w:themeColor="text1"/>
          <w:kern w:val="0"/>
          <w:sz w:val="32"/>
          <w:szCs w:val="32"/>
          <w:lang w:val="zh-CN"/>
          <w14:textFill>
            <w14:solidFill>
              <w14:schemeClr w14:val="tx1"/>
            </w14:solidFill>
          </w14:textFill>
        </w:rPr>
        <w:sectPr>
          <w:footerReference r:id="rId5" w:type="first"/>
          <w:headerReference r:id="rId3" w:type="default"/>
          <w:footerReference r:id="rId4" w:type="default"/>
          <w:pgSz w:w="11907" w:h="16840"/>
          <w:pgMar w:top="1440" w:right="1080" w:bottom="1440" w:left="1080" w:header="720" w:footer="720" w:gutter="0"/>
          <w:pgNumType w:start="1"/>
          <w:cols w:space="720" w:num="1"/>
          <w:docGrid w:linePitch="286" w:charSpace="0"/>
        </w:sectPr>
      </w:pPr>
      <w:r>
        <w:rPr>
          <w:rFonts w:hint="eastAsia" w:ascii="宋体" w:hAnsi="宋体" w:cs="宋体"/>
          <w:b/>
          <w:color w:val="000000" w:themeColor="text1"/>
          <w:kern w:val="0"/>
          <w:sz w:val="36"/>
          <w:szCs w:val="36"/>
          <w14:textFill>
            <w14:solidFill>
              <w14:schemeClr w14:val="tx1"/>
            </w14:solidFill>
          </w14:textFill>
        </w:rPr>
        <w:t>202</w:t>
      </w:r>
      <w:r>
        <w:rPr>
          <w:rFonts w:hint="eastAsia" w:ascii="宋体" w:hAnsi="宋体" w:cs="宋体"/>
          <w:b/>
          <w:color w:val="000000" w:themeColor="text1"/>
          <w:kern w:val="0"/>
          <w:sz w:val="36"/>
          <w:szCs w:val="36"/>
          <w:lang w:val="en-US" w:eastAsia="zh-CN"/>
          <w14:textFill>
            <w14:solidFill>
              <w14:schemeClr w14:val="tx1"/>
            </w14:solidFill>
          </w14:textFill>
        </w:rPr>
        <w:t>5</w:t>
      </w:r>
      <w:r>
        <w:rPr>
          <w:rFonts w:hint="eastAsia" w:ascii="宋体" w:hAnsi="宋体" w:cs="宋体"/>
          <w:b/>
          <w:color w:val="000000" w:themeColor="text1"/>
          <w:kern w:val="0"/>
          <w:sz w:val="36"/>
          <w:szCs w:val="36"/>
          <w14:textFill>
            <w14:solidFill>
              <w14:schemeClr w14:val="tx1"/>
            </w14:solidFill>
          </w14:textFill>
        </w:rPr>
        <w:t>年</w:t>
      </w:r>
      <w:r>
        <w:rPr>
          <w:rFonts w:hint="eastAsia" w:ascii="宋体" w:hAnsi="宋体" w:cs="宋体"/>
          <w:b/>
          <w:color w:val="000000" w:themeColor="text1"/>
          <w:kern w:val="0"/>
          <w:sz w:val="36"/>
          <w:szCs w:val="36"/>
          <w:lang w:val="en-US" w:eastAsia="zh-CN"/>
          <w14:textFill>
            <w14:solidFill>
              <w14:schemeClr w14:val="tx1"/>
            </w14:solidFill>
          </w14:textFill>
        </w:rPr>
        <w:t>6</w:t>
      </w:r>
      <w:r>
        <w:rPr>
          <w:rFonts w:hint="eastAsia" w:ascii="宋体" w:hAnsi="宋体" w:cs="宋体"/>
          <w:b/>
          <w:color w:val="000000" w:themeColor="text1"/>
          <w:kern w:val="0"/>
          <w:sz w:val="36"/>
          <w:szCs w:val="36"/>
          <w14:textFill>
            <w14:solidFill>
              <w14:schemeClr w14:val="tx1"/>
            </w14:solidFill>
          </w14:textFill>
        </w:rPr>
        <w:t>月</w:t>
      </w:r>
      <w:r>
        <w:rPr>
          <w:rFonts w:hint="eastAsia" w:ascii="宋体" w:hAnsi="宋体" w:cs="宋体"/>
          <w:b/>
          <w:color w:val="000000" w:themeColor="text1"/>
          <w:kern w:val="0"/>
          <w:sz w:val="36"/>
          <w:szCs w:val="36"/>
          <w:lang w:val="en-US" w:eastAsia="zh-CN"/>
          <w14:textFill>
            <w14:solidFill>
              <w14:schemeClr w14:val="tx1"/>
            </w14:solidFill>
          </w14:textFill>
        </w:rPr>
        <w:t>10日</w:t>
      </w:r>
      <w:r>
        <w:rPr>
          <w:rFonts w:hint="eastAsia" w:ascii="宋体" w:hAnsi="宋体" w:cs="宋体"/>
          <w:b/>
          <w:color w:val="000000" w:themeColor="text1"/>
          <w:kern w:val="0"/>
          <w:sz w:val="36"/>
          <w:szCs w:val="36"/>
          <w14:textFill>
            <w14:solidFill>
              <w14:schemeClr w14:val="tx1"/>
            </w14:solidFill>
          </w14:textFill>
        </w:rPr>
        <w:t xml:space="preserve"> </w:t>
      </w:r>
    </w:p>
    <w:p w14:paraId="1DB4BB45">
      <w:pPr>
        <w:pStyle w:val="6"/>
        <w:keepNext w:val="0"/>
        <w:keepLines w:val="0"/>
        <w:widowControl/>
        <w:spacing w:before="240" w:after="120" w:line="432" w:lineRule="atLeast"/>
        <w:ind w:firstLine="803"/>
        <w:jc w:val="center"/>
        <w:rPr>
          <w:rFonts w:hint="eastAsia" w:ascii="宋体" w:hAnsi="宋体" w:cs="宋体"/>
          <w:b/>
          <w:bCs/>
          <w:color w:val="000000" w:themeColor="text1"/>
          <w:kern w:val="0"/>
          <w:sz w:val="40"/>
          <w:szCs w:val="40"/>
          <w:highlight w:val="none"/>
          <w:lang w:bidi="ar"/>
          <w14:textFill>
            <w14:solidFill>
              <w14:schemeClr w14:val="tx1"/>
            </w14:solidFill>
          </w14:textFill>
        </w:rPr>
      </w:pPr>
      <w:r>
        <w:rPr>
          <w:rFonts w:hint="eastAsia" w:ascii="宋体" w:hAnsi="宋体" w:cs="宋体"/>
          <w:b/>
          <w:bCs/>
          <w:color w:val="000000" w:themeColor="text1"/>
          <w:kern w:val="0"/>
          <w:sz w:val="40"/>
          <w:szCs w:val="40"/>
          <w:highlight w:val="none"/>
          <w:lang w:bidi="ar"/>
          <w14:textFill>
            <w14:solidFill>
              <w14:schemeClr w14:val="tx1"/>
            </w14:solidFill>
          </w14:textFill>
        </w:rPr>
        <w:t>辽宁建筑职业学院</w:t>
      </w:r>
    </w:p>
    <w:p w14:paraId="6447997C">
      <w:pPr>
        <w:pStyle w:val="6"/>
        <w:keepNext w:val="0"/>
        <w:keepLines w:val="0"/>
        <w:widowControl/>
        <w:spacing w:before="240" w:after="120" w:line="432" w:lineRule="atLeast"/>
        <w:ind w:firstLine="803"/>
        <w:jc w:val="center"/>
        <w:rPr>
          <w:rFonts w:hint="eastAsia" w:ascii="宋体" w:hAnsi="宋体" w:cs="宋体"/>
          <w:b/>
          <w:bCs/>
          <w:color w:val="000000" w:themeColor="text1"/>
          <w:kern w:val="0"/>
          <w:sz w:val="40"/>
          <w:szCs w:val="40"/>
          <w:highlight w:val="none"/>
          <w:lang w:bidi="ar"/>
          <w14:textFill>
            <w14:solidFill>
              <w14:schemeClr w14:val="tx1"/>
            </w14:solidFill>
          </w14:textFill>
        </w:rPr>
      </w:pPr>
      <w:r>
        <w:rPr>
          <w:rFonts w:hint="eastAsia" w:ascii="宋体" w:hAnsi="宋体" w:cs="宋体"/>
          <w:b/>
          <w:bCs/>
          <w:color w:val="000000" w:themeColor="text1"/>
          <w:kern w:val="0"/>
          <w:sz w:val="40"/>
          <w:szCs w:val="40"/>
          <w:highlight w:val="none"/>
          <w:lang w:bidi="ar"/>
          <w14:textFill>
            <w14:solidFill>
              <w14:schemeClr w14:val="tx1"/>
            </w14:solidFill>
          </w14:textFill>
        </w:rPr>
        <w:t>202</w:t>
      </w:r>
      <w:r>
        <w:rPr>
          <w:rFonts w:hint="eastAsia" w:ascii="宋体" w:hAnsi="宋体" w:cs="宋体"/>
          <w:b/>
          <w:bCs/>
          <w:color w:val="000000" w:themeColor="text1"/>
          <w:kern w:val="0"/>
          <w:sz w:val="40"/>
          <w:szCs w:val="40"/>
          <w:highlight w:val="none"/>
          <w:lang w:val="en-US" w:eastAsia="zh-CN" w:bidi="ar"/>
          <w14:textFill>
            <w14:solidFill>
              <w14:schemeClr w14:val="tx1"/>
            </w14:solidFill>
          </w14:textFill>
        </w:rPr>
        <w:t>5届毕业生</w:t>
      </w:r>
      <w:r>
        <w:rPr>
          <w:rFonts w:hint="eastAsia" w:ascii="宋体" w:hAnsi="宋体" w:cs="宋体"/>
          <w:b/>
          <w:bCs/>
          <w:color w:val="000000" w:themeColor="text1"/>
          <w:kern w:val="0"/>
          <w:sz w:val="40"/>
          <w:szCs w:val="40"/>
          <w:highlight w:val="none"/>
          <w:lang w:bidi="ar"/>
          <w14:textFill>
            <w14:solidFill>
              <w14:schemeClr w14:val="tx1"/>
            </w14:solidFill>
          </w14:textFill>
        </w:rPr>
        <w:t>第三方跟踪调查服务项目</w:t>
      </w:r>
    </w:p>
    <w:p w14:paraId="1847D18F">
      <w:pPr>
        <w:rPr>
          <w:rFonts w:hint="eastAsia" w:ascii="宋体" w:hAnsi="宋体" w:cs="宋体"/>
          <w:b/>
          <w:bCs/>
          <w:color w:val="000000" w:themeColor="text1"/>
          <w:kern w:val="0"/>
          <w:sz w:val="40"/>
          <w:szCs w:val="40"/>
          <w:highlight w:val="none"/>
          <w:lang w:bidi="ar"/>
          <w14:textFill>
            <w14:solidFill>
              <w14:schemeClr w14:val="tx1"/>
            </w14:solidFill>
          </w14:textFill>
        </w:rPr>
      </w:pPr>
    </w:p>
    <w:p w14:paraId="42128952">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562" w:firstLineChars="200"/>
        <w:textAlignment w:val="auto"/>
        <w:rPr>
          <w:rFonts w:hint="eastAsia" w:ascii="宋体" w:hAnsi="宋体"/>
          <w:b/>
          <w:bCs/>
          <w:color w:val="000000" w:themeColor="text1"/>
          <w:sz w:val="28"/>
          <w:szCs w:val="28"/>
          <w:lang w:val="en-US" w:eastAsia="zh-CN"/>
          <w14:textFill>
            <w14:solidFill>
              <w14:schemeClr w14:val="tx1"/>
            </w14:solidFill>
          </w14:textFill>
        </w:rPr>
      </w:pPr>
      <w:r>
        <w:rPr>
          <w:rFonts w:hint="eastAsia" w:ascii="宋体" w:hAnsi="宋体"/>
          <w:b/>
          <w:bCs/>
          <w:color w:val="000000" w:themeColor="text1"/>
          <w:sz w:val="28"/>
          <w:szCs w:val="28"/>
          <w:lang w:val="en-US" w:eastAsia="zh-CN"/>
          <w14:textFill>
            <w14:solidFill>
              <w14:schemeClr w14:val="tx1"/>
            </w14:solidFill>
          </w14:textFill>
        </w:rPr>
        <w:t>一、项目名称</w:t>
      </w:r>
    </w:p>
    <w:p w14:paraId="75BD8343">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560" w:firstLineChars="200"/>
        <w:textAlignment w:val="auto"/>
        <w:rPr>
          <w:rFonts w:hint="eastAsia" w:ascii="宋体" w:hAnsi="宋体"/>
          <w:color w:val="000000" w:themeColor="text1"/>
          <w:sz w:val="28"/>
          <w:szCs w:val="28"/>
          <w:lang w:val="en-US" w:eastAsia="zh-CN"/>
          <w14:textFill>
            <w14:solidFill>
              <w14:schemeClr w14:val="tx1"/>
            </w14:solidFill>
          </w14:textFill>
        </w:rPr>
      </w:pPr>
      <w:r>
        <w:rPr>
          <w:rFonts w:hint="eastAsia" w:ascii="宋体" w:hAnsi="宋体"/>
          <w:color w:val="000000" w:themeColor="text1"/>
          <w:sz w:val="28"/>
          <w:szCs w:val="28"/>
          <w:lang w:val="en-US" w:eastAsia="zh-CN"/>
          <w14:textFill>
            <w14:solidFill>
              <w14:schemeClr w14:val="tx1"/>
            </w14:solidFill>
          </w14:textFill>
        </w:rPr>
        <w:t>辽宁建筑职业学院2025届毕业生第三方跟踪调查服务项目</w:t>
      </w:r>
    </w:p>
    <w:p w14:paraId="3293BE0A">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562" w:firstLineChars="200"/>
        <w:textAlignment w:val="auto"/>
        <w:rPr>
          <w:rFonts w:hint="eastAsia" w:ascii="宋体" w:hAnsi="宋体"/>
          <w:b/>
          <w:bCs/>
          <w:color w:val="000000" w:themeColor="text1"/>
          <w:sz w:val="28"/>
          <w:szCs w:val="28"/>
          <w:lang w:val="en-US" w:eastAsia="zh-CN"/>
          <w14:textFill>
            <w14:solidFill>
              <w14:schemeClr w14:val="tx1"/>
            </w14:solidFill>
          </w14:textFill>
        </w:rPr>
      </w:pPr>
      <w:r>
        <w:rPr>
          <w:rFonts w:hint="eastAsia" w:ascii="宋体" w:hAnsi="宋体"/>
          <w:b/>
          <w:bCs/>
          <w:color w:val="000000" w:themeColor="text1"/>
          <w:sz w:val="28"/>
          <w:szCs w:val="28"/>
          <w:lang w:val="en-US" w:eastAsia="zh-CN"/>
          <w14:textFill>
            <w14:solidFill>
              <w14:schemeClr w14:val="tx1"/>
            </w14:solidFill>
          </w14:textFill>
        </w:rPr>
        <w:t>二、预算金额</w:t>
      </w:r>
    </w:p>
    <w:p w14:paraId="2C2994ED">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560" w:firstLineChars="200"/>
        <w:textAlignment w:val="auto"/>
        <w:rPr>
          <w:rFonts w:hint="eastAsia" w:ascii="宋体" w:hAnsi="宋体"/>
          <w:color w:val="000000" w:themeColor="text1"/>
          <w:sz w:val="28"/>
          <w:szCs w:val="28"/>
          <w:lang w:val="en-US" w:eastAsia="zh-CN"/>
          <w14:textFill>
            <w14:solidFill>
              <w14:schemeClr w14:val="tx1"/>
            </w14:solidFill>
          </w14:textFill>
        </w:rPr>
      </w:pPr>
      <w:r>
        <w:rPr>
          <w:rFonts w:hint="eastAsia" w:ascii="宋体" w:hAnsi="宋体"/>
          <w:color w:val="000000" w:themeColor="text1"/>
          <w:sz w:val="28"/>
          <w:szCs w:val="28"/>
          <w:lang w:val="en-US" w:eastAsia="zh-CN"/>
          <w14:textFill>
            <w14:solidFill>
              <w14:schemeClr w14:val="tx1"/>
            </w14:solidFill>
          </w14:textFill>
        </w:rPr>
        <w:t>35000元（叁万伍仟元整人民币）</w:t>
      </w:r>
    </w:p>
    <w:p w14:paraId="6F1A9816">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default" w:ascii="宋体" w:hAnsi="宋体" w:eastAsia="宋体" w:cs="宋体"/>
          <w:b/>
          <w:bCs/>
          <w:color w:val="000000" w:themeColor="text1"/>
          <w:kern w:val="2"/>
          <w:sz w:val="28"/>
          <w:szCs w:val="28"/>
          <w:lang w:val="en-US" w:eastAsia="zh-CN" w:bidi="ar-SA"/>
          <w14:textFill>
            <w14:solidFill>
              <w14:schemeClr w14:val="tx1"/>
            </w14:solidFill>
          </w14:textFill>
        </w:rPr>
      </w:pPr>
      <w:r>
        <w:rPr>
          <w:rFonts w:hint="eastAsia" w:ascii="宋体" w:hAnsi="宋体"/>
          <w:b/>
          <w:bCs/>
          <w:color w:val="000000" w:themeColor="text1"/>
          <w:sz w:val="28"/>
          <w:szCs w:val="28"/>
          <w:lang w:val="en-US" w:eastAsia="zh-CN"/>
          <w14:textFill>
            <w14:solidFill>
              <w14:schemeClr w14:val="tx1"/>
            </w14:solidFill>
          </w14:textFill>
        </w:rPr>
        <w:t>三、</w:t>
      </w:r>
      <w:r>
        <w:rPr>
          <w:rFonts w:hint="eastAsia" w:ascii="宋体" w:hAnsi="宋体" w:cs="宋体"/>
          <w:b/>
          <w:bCs/>
          <w:color w:val="000000" w:themeColor="text1"/>
          <w:kern w:val="2"/>
          <w:sz w:val="28"/>
          <w:szCs w:val="28"/>
          <w:lang w:val="en-US" w:eastAsia="zh-CN" w:bidi="ar-SA"/>
          <w14:textFill>
            <w14:solidFill>
              <w14:schemeClr w14:val="tx1"/>
            </w14:solidFill>
          </w14:textFill>
        </w:rPr>
        <w:t>服务期限</w:t>
      </w:r>
    </w:p>
    <w:p w14:paraId="4B38F525">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cs="宋体"/>
          <w:b w:val="0"/>
          <w:color w:val="000000" w:themeColor="text1"/>
          <w:kern w:val="2"/>
          <w:sz w:val="28"/>
          <w:szCs w:val="28"/>
          <w:lang w:val="en-US" w:eastAsia="zh-CN" w:bidi="ar-SA"/>
          <w14:textFill>
            <w14:solidFill>
              <w14:schemeClr w14:val="tx1"/>
            </w14:solidFill>
          </w14:textFill>
        </w:rPr>
      </w:pPr>
      <w:r>
        <w:rPr>
          <w:rFonts w:hint="eastAsia" w:ascii="宋体" w:hAnsi="宋体" w:cs="宋体"/>
          <w:b w:val="0"/>
          <w:color w:val="000000" w:themeColor="text1"/>
          <w:kern w:val="2"/>
          <w:sz w:val="28"/>
          <w:szCs w:val="28"/>
          <w:lang w:val="en-US" w:eastAsia="zh-CN" w:bidi="ar-SA"/>
          <w14:textFill>
            <w14:solidFill>
              <w14:schemeClr w14:val="tx1"/>
            </w14:solidFill>
          </w14:textFill>
        </w:rPr>
        <w:t>服务期限为两年，合同一年一签，评估合格且服务质量高，可续签下一年合同。</w:t>
      </w:r>
    </w:p>
    <w:p w14:paraId="13BC6AEA">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宋体" w:hAnsi="宋体" w:eastAsia="宋体" w:cs="宋体"/>
          <w:b/>
          <w:bCs/>
          <w:color w:val="000000" w:themeColor="text1"/>
          <w:kern w:val="2"/>
          <w:sz w:val="28"/>
          <w:szCs w:val="28"/>
          <w:lang w:val="en-US" w:eastAsia="zh-CN" w:bidi="ar-SA"/>
          <w14:textFill>
            <w14:solidFill>
              <w14:schemeClr w14:val="tx1"/>
            </w14:solidFill>
          </w14:textFill>
        </w:rPr>
      </w:pPr>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四、交货期限</w:t>
      </w:r>
    </w:p>
    <w:p w14:paraId="11E7C747">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b w:val="0"/>
          <w:color w:val="000000" w:themeColor="text1"/>
          <w:kern w:val="2"/>
          <w:sz w:val="28"/>
          <w:szCs w:val="28"/>
          <w:lang w:val="en-US" w:eastAsia="zh-CN" w:bidi="ar-SA"/>
          <w14:textFill>
            <w14:solidFill>
              <w14:schemeClr w14:val="tx1"/>
            </w14:solidFill>
          </w14:textFill>
        </w:rPr>
      </w:pPr>
      <w:r>
        <w:rPr>
          <w:rFonts w:hint="eastAsia" w:ascii="宋体" w:hAnsi="宋体" w:eastAsia="宋体" w:cs="宋体"/>
          <w:b w:val="0"/>
          <w:color w:val="000000" w:themeColor="text1"/>
          <w:kern w:val="2"/>
          <w:sz w:val="28"/>
          <w:szCs w:val="28"/>
          <w:lang w:val="en-US" w:eastAsia="zh-CN" w:bidi="ar-SA"/>
          <w14:textFill>
            <w14:solidFill>
              <w14:schemeClr w14:val="tx1"/>
            </w14:solidFill>
          </w14:textFill>
        </w:rPr>
        <w:t>合同签订后，供应商在202</w:t>
      </w:r>
      <w:r>
        <w:rPr>
          <w:rFonts w:hint="eastAsia" w:ascii="宋体" w:hAnsi="宋体" w:cs="宋体"/>
          <w:b w:val="0"/>
          <w:color w:val="000000" w:themeColor="text1"/>
          <w:kern w:val="2"/>
          <w:sz w:val="28"/>
          <w:szCs w:val="28"/>
          <w:lang w:val="en-US" w:eastAsia="zh-CN" w:bidi="ar-SA"/>
          <w14:textFill>
            <w14:solidFill>
              <w14:schemeClr w14:val="tx1"/>
            </w14:solidFill>
          </w14:textFill>
        </w:rPr>
        <w:t>5</w:t>
      </w:r>
      <w:r>
        <w:rPr>
          <w:rFonts w:hint="eastAsia" w:ascii="宋体" w:hAnsi="宋体" w:eastAsia="宋体" w:cs="宋体"/>
          <w:b w:val="0"/>
          <w:color w:val="000000" w:themeColor="text1"/>
          <w:kern w:val="2"/>
          <w:sz w:val="28"/>
          <w:szCs w:val="28"/>
          <w:lang w:val="en-US" w:eastAsia="zh-CN" w:bidi="ar-SA"/>
          <w14:textFill>
            <w14:solidFill>
              <w14:schemeClr w14:val="tx1"/>
            </w14:solidFill>
          </w14:textFill>
        </w:rPr>
        <w:t>年</w:t>
      </w:r>
      <w:r>
        <w:rPr>
          <w:rFonts w:hint="eastAsia" w:ascii="宋体" w:hAnsi="宋体" w:cs="宋体"/>
          <w:b w:val="0"/>
          <w:color w:val="000000" w:themeColor="text1"/>
          <w:kern w:val="2"/>
          <w:sz w:val="28"/>
          <w:szCs w:val="28"/>
          <w:lang w:val="en-US" w:eastAsia="zh-CN" w:bidi="ar-SA"/>
          <w14:textFill>
            <w14:solidFill>
              <w14:schemeClr w14:val="tx1"/>
            </w14:solidFill>
          </w14:textFill>
        </w:rPr>
        <w:t>12</w:t>
      </w:r>
      <w:r>
        <w:rPr>
          <w:rFonts w:hint="eastAsia" w:ascii="宋体" w:hAnsi="宋体" w:eastAsia="宋体" w:cs="宋体"/>
          <w:b w:val="0"/>
          <w:color w:val="000000" w:themeColor="text1"/>
          <w:kern w:val="2"/>
          <w:sz w:val="28"/>
          <w:szCs w:val="28"/>
          <w:lang w:val="en-US" w:eastAsia="zh-CN" w:bidi="ar-SA"/>
          <w14:textFill>
            <w14:solidFill>
              <w14:schemeClr w14:val="tx1"/>
            </w14:solidFill>
          </w14:textFill>
        </w:rPr>
        <w:t>月31日前完成全部调研并出具报告。</w:t>
      </w:r>
    </w:p>
    <w:p w14:paraId="046C7B6B">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宋体" w:hAnsi="宋体" w:eastAsia="宋体" w:cs="宋体"/>
          <w:b/>
          <w:bCs/>
          <w:color w:val="000000" w:themeColor="text1"/>
          <w:kern w:val="2"/>
          <w:sz w:val="28"/>
          <w:szCs w:val="28"/>
          <w:lang w:val="en-US" w:eastAsia="zh-CN" w:bidi="ar-SA"/>
          <w14:textFill>
            <w14:solidFill>
              <w14:schemeClr w14:val="tx1"/>
            </w14:solidFill>
          </w14:textFill>
        </w:rPr>
      </w:pPr>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五、资格要求</w:t>
      </w:r>
    </w:p>
    <w:p w14:paraId="43BBB365">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cs="宋体"/>
          <w:b w:val="0"/>
          <w:color w:val="000000" w:themeColor="text1"/>
          <w:kern w:val="2"/>
          <w:sz w:val="28"/>
          <w:szCs w:val="28"/>
          <w:lang w:val="en-US" w:eastAsia="zh-CN" w:bidi="ar-SA"/>
          <w14:textFill>
            <w14:solidFill>
              <w14:schemeClr w14:val="tx1"/>
            </w14:solidFill>
          </w14:textFill>
        </w:rPr>
      </w:pPr>
      <w:r>
        <w:rPr>
          <w:rFonts w:hint="eastAsia" w:ascii="宋体" w:hAnsi="宋体" w:cs="宋体"/>
          <w:b w:val="0"/>
          <w:color w:val="000000" w:themeColor="text1"/>
          <w:kern w:val="2"/>
          <w:sz w:val="28"/>
          <w:szCs w:val="28"/>
          <w:lang w:val="en-US" w:eastAsia="zh-CN" w:bidi="ar-SA"/>
          <w14:textFill>
            <w14:solidFill>
              <w14:schemeClr w14:val="tx1"/>
            </w14:solidFill>
          </w14:textFill>
        </w:rPr>
        <w:t>1.满足《中华人民共和国政府采购法》第二十二条规定；</w:t>
      </w:r>
    </w:p>
    <w:p w14:paraId="12DE13CB">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cs="宋体"/>
          <w:b w:val="0"/>
          <w:color w:val="000000" w:themeColor="text1"/>
          <w:kern w:val="2"/>
          <w:sz w:val="28"/>
          <w:szCs w:val="28"/>
          <w:lang w:val="en-US" w:eastAsia="zh-CN" w:bidi="ar-SA"/>
          <w14:textFill>
            <w14:solidFill>
              <w14:schemeClr w14:val="tx1"/>
            </w14:solidFill>
          </w14:textFill>
        </w:rPr>
      </w:pPr>
      <w:r>
        <w:rPr>
          <w:rFonts w:hint="eastAsia" w:ascii="宋体" w:hAnsi="宋体" w:cs="宋体"/>
          <w:b w:val="0"/>
          <w:color w:val="000000" w:themeColor="text1"/>
          <w:kern w:val="2"/>
          <w:sz w:val="28"/>
          <w:szCs w:val="28"/>
          <w:lang w:val="en-US" w:eastAsia="zh-CN" w:bidi="ar-SA"/>
          <w14:textFill>
            <w14:solidFill>
              <w14:schemeClr w14:val="tx1"/>
            </w14:solidFill>
          </w14:textFill>
        </w:rPr>
        <w:t>2.本项目的特定资格要求：</w:t>
      </w:r>
      <w:bookmarkStart w:id="10" w:name="_GoBack"/>
      <w:bookmarkEnd w:id="10"/>
    </w:p>
    <w:p w14:paraId="6CAA0E03">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cs="宋体"/>
          <w:b w:val="0"/>
          <w:color w:val="000000" w:themeColor="text1"/>
          <w:kern w:val="2"/>
          <w:sz w:val="28"/>
          <w:szCs w:val="28"/>
          <w:lang w:val="en-US" w:eastAsia="zh-CN" w:bidi="ar-SA"/>
          <w14:textFill>
            <w14:solidFill>
              <w14:schemeClr w14:val="tx1"/>
            </w14:solidFill>
          </w14:textFill>
        </w:rPr>
      </w:pPr>
      <w:r>
        <w:rPr>
          <w:rFonts w:hint="eastAsia" w:ascii="宋体" w:hAnsi="宋体" w:cs="宋体"/>
          <w:b w:val="0"/>
          <w:color w:val="000000" w:themeColor="text1"/>
          <w:kern w:val="2"/>
          <w:sz w:val="28"/>
          <w:szCs w:val="28"/>
          <w:lang w:val="en-US" w:eastAsia="zh-CN" w:bidi="ar-SA"/>
          <w14:textFill>
            <w14:solidFill>
              <w14:schemeClr w14:val="tx1"/>
            </w14:solidFill>
          </w14:textFill>
        </w:rPr>
        <w:t>①未被“信用中国”网站（www.creditchina.gov.cn）和“中国政府采购网”（www.ccgp.gov.cn）列入失信被执行人、重大税收违法案件当事人名单、政府采购严重违法失信行为记录名单。</w:t>
      </w:r>
    </w:p>
    <w:p w14:paraId="52E87CEE">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cs="宋体"/>
          <w:b w:val="0"/>
          <w:color w:val="000000" w:themeColor="text1"/>
          <w:kern w:val="2"/>
          <w:sz w:val="28"/>
          <w:szCs w:val="28"/>
          <w:lang w:val="en-US" w:eastAsia="zh-CN" w:bidi="ar-SA"/>
          <w14:textFill>
            <w14:solidFill>
              <w14:schemeClr w14:val="tx1"/>
            </w14:solidFill>
          </w14:textFill>
        </w:rPr>
      </w:pPr>
      <w:r>
        <w:rPr>
          <w:rFonts w:hint="eastAsia" w:ascii="宋体" w:hAnsi="宋体" w:cs="宋体"/>
          <w:b w:val="0"/>
          <w:color w:val="000000" w:themeColor="text1"/>
          <w:kern w:val="2"/>
          <w:sz w:val="28"/>
          <w:szCs w:val="28"/>
          <w:lang w:val="en-US" w:eastAsia="zh-CN" w:bidi="ar-SA"/>
          <w14:textFill>
            <w14:solidFill>
              <w14:schemeClr w14:val="tx1"/>
            </w14:solidFill>
          </w14:textFill>
        </w:rPr>
        <w:t>②与采购人、采购人就本次采购的项目委托的采购代理机构以及上述机构的附属机构没有行政或经济关联；单位负责人为同一人或者存在直接控股、管理关系的不同投标人，不得参加同一合同项下的政府采购活动。</w:t>
      </w:r>
    </w:p>
    <w:p w14:paraId="37564F6B">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cs="宋体"/>
          <w:b w:val="0"/>
          <w:color w:val="000000" w:themeColor="text1"/>
          <w:kern w:val="2"/>
          <w:sz w:val="28"/>
          <w:szCs w:val="28"/>
          <w:lang w:val="en-US" w:eastAsia="zh-CN" w:bidi="ar-SA"/>
          <w14:textFill>
            <w14:solidFill>
              <w14:schemeClr w14:val="tx1"/>
            </w14:solidFill>
          </w14:textFill>
        </w:rPr>
      </w:pPr>
      <w:r>
        <w:rPr>
          <w:rFonts w:hint="eastAsia" w:ascii="宋体" w:hAnsi="宋体" w:cs="宋体"/>
          <w:b w:val="0"/>
          <w:color w:val="000000" w:themeColor="text1"/>
          <w:kern w:val="2"/>
          <w:sz w:val="28"/>
          <w:szCs w:val="28"/>
          <w:lang w:val="en-US" w:eastAsia="zh-CN" w:bidi="ar-SA"/>
          <w14:textFill>
            <w14:solidFill>
              <w14:schemeClr w14:val="tx1"/>
            </w14:solidFill>
          </w14:textFill>
        </w:rPr>
        <w:t>③本项目不接受联合体投标，中标后不得分包与转包。</w:t>
      </w:r>
    </w:p>
    <w:p w14:paraId="1EE02DF4">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cs="宋体"/>
          <w:b w:val="0"/>
          <w:color w:val="000000" w:themeColor="text1"/>
          <w:kern w:val="2"/>
          <w:sz w:val="28"/>
          <w:szCs w:val="28"/>
          <w:lang w:val="en-US" w:eastAsia="zh-CN" w:bidi="ar-SA"/>
          <w14:textFill>
            <w14:solidFill>
              <w14:schemeClr w14:val="tx1"/>
            </w14:solidFill>
          </w14:textFill>
        </w:rPr>
      </w:pPr>
      <w:r>
        <w:rPr>
          <w:rFonts w:hint="eastAsia" w:ascii="宋体" w:hAnsi="宋体" w:cs="宋体"/>
          <w:b w:val="0"/>
          <w:color w:val="000000" w:themeColor="text1"/>
          <w:kern w:val="2"/>
          <w:sz w:val="28"/>
          <w:szCs w:val="28"/>
          <w:lang w:val="en-US" w:eastAsia="zh-CN" w:bidi="ar-SA"/>
          <w14:textFill>
            <w14:solidFill>
              <w14:schemeClr w14:val="tx1"/>
            </w14:solidFill>
          </w14:textFill>
        </w:rPr>
        <w:t>④本项目属于社会调查，根据《外商投资准入特别管理措施（负面清单）（2024年版）》第十六条，本项目不接受外商投资准入特别管理措施（负面清单）规定的外资背景企业投标。</w:t>
      </w:r>
    </w:p>
    <w:p w14:paraId="6FACFAA2">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562" w:firstLineChars="200"/>
        <w:textAlignment w:val="auto"/>
        <w:rPr>
          <w:rFonts w:hint="default" w:ascii="宋体" w:hAnsi="宋体" w:cs="宋体"/>
          <w:color w:val="000000" w:themeColor="text1"/>
          <w:lang w:val="en-US"/>
          <w14:textFill>
            <w14:solidFill>
              <w14:schemeClr w14:val="tx1"/>
            </w14:solidFill>
          </w14:textFill>
        </w:rPr>
      </w:pPr>
      <w:r>
        <w:rPr>
          <w:rFonts w:hint="eastAsia" w:ascii="宋体" w:hAnsi="宋体"/>
          <w:b/>
          <w:bCs/>
          <w:color w:val="000000" w:themeColor="text1"/>
          <w:sz w:val="28"/>
          <w:szCs w:val="28"/>
          <w:lang w:val="en-US" w:eastAsia="zh-CN"/>
          <w14:textFill>
            <w14:solidFill>
              <w14:schemeClr w14:val="tx1"/>
            </w14:solidFill>
          </w14:textFill>
        </w:rPr>
        <w:t>六、项目内容及要求</w:t>
      </w:r>
    </w:p>
    <w:p w14:paraId="1D337BB6">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Theme="minorEastAsia" w:hAnsiTheme="minorEastAsia" w:cstheme="minorEastAsia"/>
          <w:color w:val="000000" w:themeColor="text1"/>
          <w:sz w:val="28"/>
          <w:szCs w:val="28"/>
          <w:lang w:val="en-US" w:eastAsia="zh-CN"/>
          <w14:textFill>
            <w14:solidFill>
              <w14:schemeClr w14:val="tx1"/>
            </w14:solidFill>
          </w14:textFill>
        </w:rPr>
      </w:pPr>
      <w:r>
        <w:rPr>
          <w:rFonts w:hint="eastAsia" w:ascii="宋体" w:hAnsi="宋体" w:eastAsia="宋体" w:cs="宋体"/>
          <w:b w:val="0"/>
          <w:color w:val="000000" w:themeColor="text1"/>
          <w:kern w:val="2"/>
          <w:sz w:val="28"/>
          <w:szCs w:val="28"/>
          <w:lang w:val="en-US" w:eastAsia="zh-CN" w:bidi="ar-SA"/>
          <w14:textFill>
            <w14:solidFill>
              <w14:schemeClr w14:val="tx1"/>
            </w14:solidFill>
          </w14:textFill>
        </w:rPr>
        <w:t>为全面系统反映</w:t>
      </w:r>
      <w:r>
        <w:rPr>
          <w:rFonts w:hint="eastAsia" w:ascii="宋体" w:hAnsi="宋体" w:cs="宋体"/>
          <w:b w:val="0"/>
          <w:color w:val="000000" w:themeColor="text1"/>
          <w:kern w:val="2"/>
          <w:sz w:val="28"/>
          <w:szCs w:val="28"/>
          <w:lang w:val="en-US" w:eastAsia="zh-CN" w:bidi="ar-SA"/>
          <w14:textFill>
            <w14:solidFill>
              <w14:schemeClr w14:val="tx1"/>
            </w14:solidFill>
          </w14:textFill>
        </w:rPr>
        <w:t>我校2025届</w:t>
      </w:r>
      <w:r>
        <w:rPr>
          <w:rFonts w:hint="eastAsia" w:ascii="宋体" w:hAnsi="宋体" w:eastAsia="宋体" w:cs="宋体"/>
          <w:b w:val="0"/>
          <w:color w:val="000000" w:themeColor="text1"/>
          <w:kern w:val="2"/>
          <w:sz w:val="28"/>
          <w:szCs w:val="28"/>
          <w:lang w:val="en-US" w:eastAsia="zh-CN" w:bidi="ar-SA"/>
          <w14:textFill>
            <w14:solidFill>
              <w14:schemeClr w14:val="tx1"/>
            </w14:solidFill>
          </w14:textFill>
        </w:rPr>
        <w:t>毕业生就业工作实际，完善就业状况反馈机制，及时回应社会关切、接受社会监督，建立健全</w:t>
      </w:r>
      <w:r>
        <w:rPr>
          <w:rFonts w:hint="eastAsia" w:ascii="宋体" w:hAnsi="宋体" w:cs="宋体"/>
          <w:b w:val="0"/>
          <w:color w:val="000000" w:themeColor="text1"/>
          <w:kern w:val="2"/>
          <w:sz w:val="28"/>
          <w:szCs w:val="28"/>
          <w:lang w:val="en-US" w:eastAsia="zh-CN" w:bidi="ar-SA"/>
          <w14:textFill>
            <w14:solidFill>
              <w14:schemeClr w14:val="tx1"/>
            </w14:solidFill>
          </w14:textFill>
        </w:rPr>
        <w:t>学校</w:t>
      </w:r>
      <w:r>
        <w:rPr>
          <w:rFonts w:hint="eastAsia" w:ascii="宋体" w:hAnsi="宋体" w:eastAsia="宋体" w:cs="宋体"/>
          <w:b w:val="0"/>
          <w:color w:val="000000" w:themeColor="text1"/>
          <w:kern w:val="2"/>
          <w:sz w:val="28"/>
          <w:szCs w:val="28"/>
          <w:lang w:val="en-US" w:eastAsia="zh-CN" w:bidi="ar-SA"/>
          <w14:textFill>
            <w14:solidFill>
              <w14:schemeClr w14:val="tx1"/>
            </w14:solidFill>
          </w14:textFill>
        </w:rPr>
        <w:t>毕业生就业工作评价体系，</w:t>
      </w:r>
      <w:r>
        <w:rPr>
          <w:rFonts w:hint="eastAsia" w:ascii="宋体" w:hAnsi="宋体" w:cs="宋体"/>
          <w:b w:val="0"/>
          <w:color w:val="000000" w:themeColor="text1"/>
          <w:kern w:val="2"/>
          <w:sz w:val="28"/>
          <w:szCs w:val="28"/>
          <w:lang w:val="en-US" w:eastAsia="zh-CN" w:bidi="ar-SA"/>
          <w14:textFill>
            <w14:solidFill>
              <w14:schemeClr w14:val="tx1"/>
            </w14:solidFill>
          </w14:textFill>
        </w:rPr>
        <w:t>学校</w:t>
      </w:r>
      <w:r>
        <w:rPr>
          <w:rFonts w:hint="eastAsia" w:asciiTheme="minorEastAsia" w:hAnsiTheme="minorEastAsia" w:cstheme="minorEastAsia"/>
          <w:color w:val="000000" w:themeColor="text1"/>
          <w:sz w:val="28"/>
          <w:szCs w:val="28"/>
          <w:lang w:val="en-US" w:eastAsia="zh-CN"/>
          <w14:textFill>
            <w14:solidFill>
              <w14:schemeClr w14:val="tx1"/>
            </w14:solidFill>
          </w14:textFill>
        </w:rPr>
        <w:t>拟</w:t>
      </w:r>
      <w:r>
        <w:rPr>
          <w:rFonts w:hint="eastAsia" w:asciiTheme="minorEastAsia" w:hAnsiTheme="minorEastAsia" w:eastAsiaTheme="minorEastAsia" w:cstheme="minorEastAsia"/>
          <w:color w:val="000000" w:themeColor="text1"/>
          <w:sz w:val="28"/>
          <w:szCs w:val="28"/>
          <w14:textFill>
            <w14:solidFill>
              <w14:schemeClr w14:val="tx1"/>
            </w14:solidFill>
          </w14:textFill>
        </w:rPr>
        <w:t>委托</w:t>
      </w:r>
      <w:r>
        <w:rPr>
          <w:rFonts w:hint="eastAsia" w:asciiTheme="minorEastAsia" w:hAnsiTheme="minorEastAsia" w:cstheme="minorEastAsia"/>
          <w:color w:val="000000" w:themeColor="text1"/>
          <w:sz w:val="28"/>
          <w:szCs w:val="28"/>
          <w:lang w:val="en-US" w:eastAsia="zh-CN"/>
          <w14:textFill>
            <w14:solidFill>
              <w14:schemeClr w14:val="tx1"/>
            </w14:solidFill>
          </w14:textFill>
        </w:rPr>
        <w:t>第三方</w:t>
      </w:r>
      <w:r>
        <w:rPr>
          <w:rFonts w:hint="eastAsia" w:asciiTheme="minorEastAsia" w:hAnsiTheme="minorEastAsia" w:eastAsiaTheme="minorEastAsia" w:cstheme="minorEastAsia"/>
          <w:color w:val="000000" w:themeColor="text1"/>
          <w:sz w:val="28"/>
          <w:szCs w:val="28"/>
          <w:lang w:eastAsia="zh-CN"/>
          <w14:textFill>
            <w14:solidFill>
              <w14:schemeClr w14:val="tx1"/>
            </w14:solidFill>
          </w14:textFill>
        </w:rPr>
        <w:t>专门公司</w:t>
      </w: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作</w:t>
      </w:r>
      <w:r>
        <w:rPr>
          <w:rFonts w:hint="eastAsia" w:asciiTheme="minorEastAsia" w:hAnsiTheme="minorEastAsia" w:eastAsiaTheme="minorEastAsia" w:cstheme="minorEastAsia"/>
          <w:color w:val="000000" w:themeColor="text1"/>
          <w:sz w:val="28"/>
          <w:szCs w:val="28"/>
          <w14:textFill>
            <w14:solidFill>
              <w14:schemeClr w14:val="tx1"/>
            </w14:solidFill>
          </w14:textFill>
        </w:rPr>
        <w:t>为</w:t>
      </w:r>
      <w:r>
        <w:rPr>
          <w:rFonts w:hint="eastAsia" w:asciiTheme="minorEastAsia" w:hAnsiTheme="minorEastAsia" w:eastAsiaTheme="minorEastAsia" w:cstheme="minorEastAsia"/>
          <w:color w:val="000000" w:themeColor="text1"/>
          <w:sz w:val="28"/>
          <w:szCs w:val="28"/>
          <w:u w:val="none"/>
          <w:lang w:val="en-US" w:eastAsia="zh-CN"/>
          <w14:textFill>
            <w14:solidFill>
              <w14:schemeClr w14:val="tx1"/>
            </w14:solidFill>
          </w14:textFill>
        </w:rPr>
        <w:t>我校202</w:t>
      </w:r>
      <w:r>
        <w:rPr>
          <w:rFonts w:hint="eastAsia" w:asciiTheme="minorEastAsia" w:hAnsiTheme="minorEastAsia" w:cstheme="minorEastAsia"/>
          <w:color w:val="000000" w:themeColor="text1"/>
          <w:sz w:val="28"/>
          <w:szCs w:val="28"/>
          <w:u w:val="none"/>
          <w:lang w:val="en-US" w:eastAsia="zh-CN"/>
          <w14:textFill>
            <w14:solidFill>
              <w14:schemeClr w14:val="tx1"/>
            </w14:solidFill>
          </w14:textFill>
        </w:rPr>
        <w:t>5届</w:t>
      </w: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毕业生跟踪调查</w:t>
      </w:r>
      <w:r>
        <w:rPr>
          <w:rFonts w:hint="eastAsia" w:asciiTheme="minorEastAsia" w:hAnsiTheme="minorEastAsia" w:cstheme="minorEastAsia"/>
          <w:color w:val="000000" w:themeColor="text1"/>
          <w:sz w:val="28"/>
          <w:szCs w:val="28"/>
          <w:lang w:val="en-US" w:eastAsia="zh-CN"/>
          <w14:textFill>
            <w14:solidFill>
              <w14:schemeClr w14:val="tx1"/>
            </w14:solidFill>
          </w14:textFill>
        </w:rPr>
        <w:t>服务项目的服务方，充分</w:t>
      </w: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发挥第三方评价作用，为</w:t>
      </w:r>
      <w:r>
        <w:rPr>
          <w:rFonts w:hint="eastAsia" w:asciiTheme="minorEastAsia" w:hAnsiTheme="minorEastAsia" w:cstheme="minorEastAsia"/>
          <w:color w:val="000000" w:themeColor="text1"/>
          <w:sz w:val="28"/>
          <w:szCs w:val="28"/>
          <w:lang w:val="en-US" w:eastAsia="zh-CN"/>
          <w14:textFill>
            <w14:solidFill>
              <w14:schemeClr w14:val="tx1"/>
            </w14:solidFill>
          </w14:textFill>
        </w:rPr>
        <w:t>我校提供详实有效的就业数据</w:t>
      </w: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分析，</w:t>
      </w:r>
      <w:r>
        <w:rPr>
          <w:rFonts w:hint="eastAsia" w:asciiTheme="minorEastAsia" w:hAnsiTheme="minorEastAsia" w:cstheme="minorEastAsia"/>
          <w:color w:val="000000" w:themeColor="text1"/>
          <w:sz w:val="28"/>
          <w:szCs w:val="28"/>
          <w:lang w:val="en-US" w:eastAsia="zh-CN"/>
          <w14:textFill>
            <w14:solidFill>
              <w14:schemeClr w14:val="tx1"/>
            </w14:solidFill>
          </w14:textFill>
        </w:rPr>
        <w:t>为</w:t>
      </w: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招生计划安排、学科专业调整、教育教学改革等方面提供重要参考</w:t>
      </w:r>
      <w:r>
        <w:rPr>
          <w:rFonts w:hint="eastAsia" w:asciiTheme="minorEastAsia" w:hAnsiTheme="minorEastAsia" w:cstheme="minorEastAsia"/>
          <w:color w:val="000000" w:themeColor="text1"/>
          <w:sz w:val="28"/>
          <w:szCs w:val="28"/>
          <w:lang w:val="en-US" w:eastAsia="zh-CN"/>
          <w14:textFill>
            <w14:solidFill>
              <w14:schemeClr w14:val="tx1"/>
            </w14:solidFill>
          </w14:textFill>
        </w:rPr>
        <w:t>。具体服务内容及要求如下：</w:t>
      </w:r>
    </w:p>
    <w:p w14:paraId="0DCA5B1B">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default" w:ascii="宋体" w:hAnsi="宋体" w:cs="宋体"/>
          <w:b/>
          <w:bCs/>
          <w:color w:val="000000" w:themeColor="text1"/>
          <w:kern w:val="2"/>
          <w:sz w:val="28"/>
          <w:szCs w:val="28"/>
          <w:lang w:val="en-US" w:eastAsia="zh-CN" w:bidi="ar-SA"/>
          <w14:textFill>
            <w14:solidFill>
              <w14:schemeClr w14:val="tx1"/>
            </w14:solidFill>
          </w14:textFill>
        </w:rPr>
      </w:pPr>
      <w:r>
        <w:rPr>
          <w:rFonts w:hint="eastAsia" w:ascii="宋体" w:hAnsi="宋体" w:cs="宋体"/>
          <w:b/>
          <w:bCs/>
          <w:color w:val="000000" w:themeColor="text1"/>
          <w:kern w:val="2"/>
          <w:sz w:val="28"/>
          <w:szCs w:val="28"/>
          <w:lang w:val="en-US" w:eastAsia="zh-CN" w:bidi="ar-SA"/>
          <w14:textFill>
            <w14:solidFill>
              <w14:schemeClr w14:val="tx1"/>
            </w14:solidFill>
          </w14:textFill>
        </w:rPr>
        <w:t>（一）全过程就业质量监测平台服务</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6"/>
        <w:gridCol w:w="1457"/>
        <w:gridCol w:w="1534"/>
        <w:gridCol w:w="6506"/>
      </w:tblGrid>
      <w:tr w14:paraId="1951E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 w:type="pct"/>
            <w:vAlign w:val="center"/>
          </w:tcPr>
          <w:p w14:paraId="2715CFC9">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序号</w:t>
            </w:r>
          </w:p>
        </w:tc>
        <w:tc>
          <w:tcPr>
            <w:tcW w:w="731" w:type="pct"/>
            <w:vAlign w:val="center"/>
          </w:tcPr>
          <w:p w14:paraId="0AD1159C">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服务名称</w:t>
            </w:r>
          </w:p>
        </w:tc>
        <w:tc>
          <w:tcPr>
            <w:tcW w:w="770" w:type="pct"/>
            <w:vAlign w:val="center"/>
          </w:tcPr>
          <w:p w14:paraId="1236AF02">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服务模块</w:t>
            </w:r>
          </w:p>
        </w:tc>
        <w:tc>
          <w:tcPr>
            <w:tcW w:w="3265" w:type="pct"/>
            <w:vAlign w:val="center"/>
          </w:tcPr>
          <w:p w14:paraId="56E48F15">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技术要求与参数（具体服务要求）</w:t>
            </w:r>
          </w:p>
        </w:tc>
      </w:tr>
      <w:tr w14:paraId="6668E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34" w:type="pct"/>
            <w:vAlign w:val="center"/>
          </w:tcPr>
          <w:p w14:paraId="76A4C4B6">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731" w:type="pct"/>
            <w:vMerge w:val="restart"/>
            <w:vAlign w:val="center"/>
          </w:tcPr>
          <w:p w14:paraId="2A1B8077">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过程就业质量监测</w:t>
            </w:r>
          </w:p>
        </w:tc>
        <w:tc>
          <w:tcPr>
            <w:tcW w:w="770" w:type="pct"/>
            <w:vAlign w:val="center"/>
          </w:tcPr>
          <w:p w14:paraId="7C1C22EE">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生源质量监测</w:t>
            </w:r>
          </w:p>
        </w:tc>
        <w:tc>
          <w:tcPr>
            <w:tcW w:w="3265" w:type="pct"/>
            <w:vAlign w:val="center"/>
          </w:tcPr>
          <w:p w14:paraId="5E74EC29">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模块内容：对本校新生针对生源质量指标构建问卷并进行问卷调研，基于调研数据结果构建数据模型说明本校各专业的生源质量情况。功能包括但不限于以下内容：</w:t>
            </w:r>
          </w:p>
          <w:p w14:paraId="4694C9B8">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w:t>
            </w:r>
            <w:r>
              <w:rPr>
                <w:rFonts w:hint="eastAsia" w:ascii="宋体" w:hAnsi="宋体" w:eastAsia="宋体" w:cs="宋体"/>
                <w:color w:val="000000" w:themeColor="text1"/>
                <w:sz w:val="21"/>
                <w:szCs w:val="21"/>
                <w14:textFill>
                  <w14:solidFill>
                    <w14:schemeClr w14:val="tx1"/>
                  </w14:solidFill>
                </w14:textFill>
              </w:rPr>
              <w:t>需要支持学生基础数据的自动化导入和管理</w:t>
            </w:r>
          </w:p>
          <w:p w14:paraId="550B761A">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需要支持在线调研管理，支持问卷题目的编辑、修改和删除</w:t>
            </w:r>
          </w:p>
          <w:p w14:paraId="33BEB09E">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需要支持调研数据的回收监测和自动化分析</w:t>
            </w:r>
          </w:p>
          <w:p w14:paraId="358A69D4">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需要提供完整且能反映新生生源质量的指标体系，并支持指标体系的自定义管理</w:t>
            </w:r>
          </w:p>
          <w:p w14:paraId="1A0AA7FC">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5</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需要构建可视化的数据模型，直观反映学校的生源质量情况，并对可能存在的问题进行预警</w:t>
            </w:r>
          </w:p>
          <w:p w14:paraId="25DB2A57">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需要支持分析模型能够按照届次、院系、专业等维度进行下钻分析</w:t>
            </w:r>
          </w:p>
          <w:p w14:paraId="63F4237F">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7</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需要形成生源质量指数，并支持按照专业进行排名</w:t>
            </w:r>
          </w:p>
          <w:p w14:paraId="28029B73">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8</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需要支持数据按届次进行纵向对比</w:t>
            </w:r>
          </w:p>
          <w:p w14:paraId="07125C3A">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9</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需要支持自动化生成《生源质量报告》</w:t>
            </w:r>
          </w:p>
        </w:tc>
      </w:tr>
      <w:tr w14:paraId="58ED4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34" w:type="pct"/>
            <w:vAlign w:val="center"/>
          </w:tcPr>
          <w:p w14:paraId="60A1DF2C">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p>
        </w:tc>
        <w:tc>
          <w:tcPr>
            <w:tcW w:w="731" w:type="pct"/>
            <w:vMerge w:val="continue"/>
            <w:vAlign w:val="center"/>
          </w:tcPr>
          <w:p w14:paraId="3CFB8BF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kern w:val="0"/>
                <w:sz w:val="21"/>
                <w:szCs w:val="21"/>
                <w14:textFill>
                  <w14:solidFill>
                    <w14:schemeClr w14:val="tx1"/>
                  </w14:solidFill>
                </w14:textFill>
              </w:rPr>
            </w:pPr>
          </w:p>
        </w:tc>
        <w:tc>
          <w:tcPr>
            <w:tcW w:w="770" w:type="pct"/>
            <w:vAlign w:val="center"/>
          </w:tcPr>
          <w:p w14:paraId="1935CC5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短期毕业生就业质量监测</w:t>
            </w:r>
          </w:p>
        </w:tc>
        <w:tc>
          <w:tcPr>
            <w:tcW w:w="3265" w:type="pct"/>
            <w:vAlign w:val="center"/>
          </w:tcPr>
          <w:p w14:paraId="3FEDDDC2">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模块内容：对本校应届毕业生的毕业去向数据进行数据分析，支持数据的可视化呈现，支持数据按各维度分析。对毕业半年以上的应届毕业生通过平台进行追踪调研，基于调研数据和毕业去向数据构建数据模型说明本校各专业的就业质量情况。功能包括但不限于</w:t>
            </w:r>
            <w:r>
              <w:rPr>
                <w:rFonts w:hint="eastAsia" w:ascii="宋体" w:hAnsi="宋体" w:eastAsia="宋体" w:cs="宋体"/>
                <w:color w:val="000000" w:themeColor="text1"/>
                <w:sz w:val="21"/>
                <w:szCs w:val="21"/>
                <w:lang w:eastAsia="zh-CN"/>
                <w14:textFill>
                  <w14:solidFill>
                    <w14:schemeClr w14:val="tx1"/>
                  </w14:solidFill>
                </w14:textFill>
              </w:rPr>
              <w:t>：</w:t>
            </w:r>
          </w:p>
          <w:p w14:paraId="23612A61">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需要支持毕业生数据的自动化导入和管理</w:t>
            </w:r>
          </w:p>
          <w:p w14:paraId="61A388FA">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需要支持在线调研管理，支持问卷题目的编辑、修改和删除</w:t>
            </w:r>
          </w:p>
          <w:p w14:paraId="59CAD26F">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需要支持调研数据的回收监测和自动化分析</w:t>
            </w:r>
          </w:p>
          <w:p w14:paraId="54F7D094">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需要提供完整且能反映毕业生就业质量的指标体系，并支持指标体系的自定义管理</w:t>
            </w:r>
          </w:p>
          <w:p w14:paraId="420998F4">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5</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需要构建可视化的数据模型，直观反映学校的就业质量情况，并对可能存在的问题进行预警</w:t>
            </w:r>
          </w:p>
          <w:p w14:paraId="053DA4A8">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需要支持分析模型能够按照学生的全部相关维度进行下钻分析（学生维度包含学生所在的院系、专业；学生的基础维度信息如性别、生源省；学生的特殊维度信息如困难生类型等）</w:t>
            </w:r>
          </w:p>
          <w:p w14:paraId="28E2769B">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7</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需要形成就业质量指数，支持按照专业进行排名。需要支持各专业就业质量指数与全国同专业数据进行对比</w:t>
            </w:r>
          </w:p>
          <w:p w14:paraId="12ECED48">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8</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需要支持数据按届次进行纵向对比</w:t>
            </w:r>
          </w:p>
          <w:p w14:paraId="265795E2">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9</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需要支持就业类政策报告的自动化生成，至少包含《毕业生就业质量年度报告》、《毕业生就业质量与人才培养综合报告》、《用人单位调研报告》等</w:t>
            </w:r>
          </w:p>
          <w:p w14:paraId="091DD7D2">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10</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需要支持基于就业数据能够进行AI咨询和建议</w:t>
            </w:r>
          </w:p>
        </w:tc>
      </w:tr>
      <w:tr w14:paraId="73FEF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34" w:type="pct"/>
            <w:vAlign w:val="center"/>
          </w:tcPr>
          <w:p w14:paraId="221C9ABD">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731" w:type="pct"/>
            <w:vMerge w:val="continue"/>
            <w:vAlign w:val="center"/>
          </w:tcPr>
          <w:p w14:paraId="3E690D4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kern w:val="0"/>
                <w:sz w:val="21"/>
                <w:szCs w:val="21"/>
                <w14:textFill>
                  <w14:solidFill>
                    <w14:schemeClr w14:val="tx1"/>
                  </w14:solidFill>
                </w14:textFill>
              </w:rPr>
            </w:pPr>
          </w:p>
        </w:tc>
        <w:tc>
          <w:tcPr>
            <w:tcW w:w="770" w:type="pct"/>
            <w:vAlign w:val="center"/>
          </w:tcPr>
          <w:p w14:paraId="5F2EC3E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中长期毕业生职业发展监测</w:t>
            </w:r>
          </w:p>
        </w:tc>
        <w:tc>
          <w:tcPr>
            <w:tcW w:w="3265" w:type="pct"/>
            <w:vAlign w:val="center"/>
          </w:tcPr>
          <w:p w14:paraId="201EDC86">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模块内容：对本校毕业3年及以上的毕业生进行追踪调研，基于调研数据构建数据模型说明本校各专业毕业生的职业发展情况。功能包括但不限于</w:t>
            </w:r>
            <w:r>
              <w:rPr>
                <w:rFonts w:hint="eastAsia" w:ascii="宋体" w:hAnsi="宋体" w:eastAsia="宋体" w:cs="宋体"/>
                <w:color w:val="000000" w:themeColor="text1"/>
                <w:sz w:val="21"/>
                <w:szCs w:val="21"/>
                <w:lang w:eastAsia="zh-CN"/>
                <w14:textFill>
                  <w14:solidFill>
                    <w14:schemeClr w14:val="tx1"/>
                  </w14:solidFill>
                </w14:textFill>
              </w:rPr>
              <w:t>：</w:t>
            </w:r>
          </w:p>
          <w:p w14:paraId="5AFEC576">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需要支持学生基础数据的自动化导入和管理</w:t>
            </w:r>
          </w:p>
          <w:p w14:paraId="7AEA3653">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需要支持在线调研管理，支持问卷题目的编辑、修改和删除</w:t>
            </w:r>
          </w:p>
          <w:p w14:paraId="06331507">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需要支持调研数据的回收监测和自动化分析</w:t>
            </w:r>
          </w:p>
          <w:p w14:paraId="70BA5F38">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需要提供完整且能反映中长期毕业生职业发展质量的指标体系，并支持指标体系的自定义管理</w:t>
            </w:r>
          </w:p>
          <w:p w14:paraId="38E3D198">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5</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需要构建可视化的数据模型，直观反映学校的毕业生职业发展情况，并对可能存在的问题进行预警</w:t>
            </w:r>
          </w:p>
          <w:p w14:paraId="16EC7D94">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需要支持分析模型能够按照届次、院系、专业等维度进行下4钻分析</w:t>
            </w:r>
          </w:p>
          <w:p w14:paraId="099A4394">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7</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需要形成职业发展质量指数，并支持按照专业进行排名</w:t>
            </w:r>
          </w:p>
          <w:p w14:paraId="7E1F29B4">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8</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需要支持数据按届次进行纵向对比</w:t>
            </w:r>
          </w:p>
          <w:p w14:paraId="0C8FCD4A">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9</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需要支持自动化生成《毕业生职业发展与人才培养综合报告》</w:t>
            </w:r>
          </w:p>
          <w:p w14:paraId="03C33CC5">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10</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需要支持基于职业发展数据急性AI咨询和建议</w:t>
            </w:r>
          </w:p>
        </w:tc>
      </w:tr>
      <w:tr w14:paraId="5E7C2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34" w:type="pct"/>
            <w:vAlign w:val="center"/>
          </w:tcPr>
          <w:p w14:paraId="184EF5BC">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w:t>
            </w:r>
          </w:p>
        </w:tc>
        <w:tc>
          <w:tcPr>
            <w:tcW w:w="731" w:type="pct"/>
            <w:vMerge w:val="continue"/>
            <w:vAlign w:val="center"/>
          </w:tcPr>
          <w:p w14:paraId="2835DAA1">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kern w:val="0"/>
                <w:sz w:val="21"/>
                <w:szCs w:val="21"/>
                <w14:textFill>
                  <w14:solidFill>
                    <w14:schemeClr w14:val="tx1"/>
                  </w14:solidFill>
                </w14:textFill>
              </w:rPr>
            </w:pPr>
          </w:p>
        </w:tc>
        <w:tc>
          <w:tcPr>
            <w:tcW w:w="770" w:type="pct"/>
            <w:vAlign w:val="center"/>
          </w:tcPr>
          <w:p w14:paraId="3511283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就业胜任力监测</w:t>
            </w:r>
          </w:p>
        </w:tc>
        <w:tc>
          <w:tcPr>
            <w:tcW w:w="3265" w:type="pct"/>
            <w:vAlign w:val="center"/>
          </w:tcPr>
          <w:p w14:paraId="6E404B4C">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模块内容：对本校在校生和应届毕业生的就业胜任力数据进行数据分析，支持本校学生和全国学生的能力素质对比，功能包括但不限于</w:t>
            </w:r>
            <w:r>
              <w:rPr>
                <w:rFonts w:hint="eastAsia" w:ascii="宋体" w:hAnsi="宋体" w:eastAsia="宋体" w:cs="宋体"/>
                <w:color w:val="000000" w:themeColor="text1"/>
                <w:sz w:val="21"/>
                <w:szCs w:val="21"/>
                <w:lang w:eastAsia="zh-CN"/>
                <w14:textFill>
                  <w14:solidFill>
                    <w14:schemeClr w14:val="tx1"/>
                  </w14:solidFill>
                </w14:textFill>
              </w:rPr>
              <w:t>：</w:t>
            </w:r>
          </w:p>
          <w:p w14:paraId="33959ED7">
            <w:pPr>
              <w:keepNext w:val="0"/>
              <w:keepLines w:val="0"/>
              <w:pageBreakBefore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w:t>
            </w:r>
            <w:r>
              <w:rPr>
                <w:rFonts w:hint="eastAsia" w:ascii="宋体" w:hAnsi="宋体" w:eastAsia="宋体" w:cs="宋体"/>
                <w:color w:val="000000" w:themeColor="text1"/>
                <w:sz w:val="21"/>
                <w:szCs w:val="21"/>
                <w14:textFill>
                  <w14:solidFill>
                    <w14:schemeClr w14:val="tx1"/>
                  </w14:solidFill>
                </w14:textFill>
              </w:rPr>
              <w:t>需支持学生基础数据的自动化导入和管理</w:t>
            </w:r>
          </w:p>
          <w:p w14:paraId="0DFB7E3E">
            <w:pPr>
              <w:keepNext w:val="0"/>
              <w:keepLines w:val="0"/>
              <w:pageBreakBefore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w:t>
            </w:r>
            <w:r>
              <w:rPr>
                <w:rFonts w:hint="eastAsia" w:ascii="宋体" w:hAnsi="宋体" w:eastAsia="宋体" w:cs="宋体"/>
                <w:color w:val="000000" w:themeColor="text1"/>
                <w:sz w:val="21"/>
                <w:szCs w:val="21"/>
                <w14:textFill>
                  <w14:solidFill>
                    <w14:schemeClr w14:val="tx1"/>
                  </w14:solidFill>
                </w14:textFill>
              </w:rPr>
              <w:t>需支持本校学生能力素质的呈现</w:t>
            </w:r>
          </w:p>
          <w:p w14:paraId="0426C5BA">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3.</w:t>
            </w:r>
            <w:r>
              <w:rPr>
                <w:rFonts w:hint="eastAsia" w:ascii="宋体" w:hAnsi="宋体" w:eastAsia="宋体" w:cs="宋体"/>
                <w:color w:val="000000" w:themeColor="text1"/>
                <w:sz w:val="21"/>
                <w:szCs w:val="21"/>
                <w14:textFill>
                  <w14:solidFill>
                    <w14:schemeClr w14:val="tx1"/>
                  </w14:solidFill>
                </w14:textFill>
              </w:rPr>
              <w:t>需支持本小学生能力素质和全国学生能力素质的对比</w:t>
            </w:r>
          </w:p>
        </w:tc>
      </w:tr>
      <w:tr w14:paraId="73640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34" w:type="pct"/>
            <w:vAlign w:val="center"/>
          </w:tcPr>
          <w:p w14:paraId="5B4BF45C">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5</w:t>
            </w:r>
          </w:p>
        </w:tc>
        <w:tc>
          <w:tcPr>
            <w:tcW w:w="731" w:type="pct"/>
            <w:vMerge w:val="continue"/>
            <w:vAlign w:val="center"/>
          </w:tcPr>
          <w:p w14:paraId="0BEA444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kern w:val="0"/>
                <w:sz w:val="21"/>
                <w:szCs w:val="21"/>
                <w14:textFill>
                  <w14:solidFill>
                    <w14:schemeClr w14:val="tx1"/>
                  </w14:solidFill>
                </w14:textFill>
              </w:rPr>
            </w:pPr>
          </w:p>
        </w:tc>
        <w:tc>
          <w:tcPr>
            <w:tcW w:w="770" w:type="pct"/>
            <w:vAlign w:val="center"/>
          </w:tcPr>
          <w:p w14:paraId="3549AC30">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初次就业意向监测</w:t>
            </w:r>
          </w:p>
        </w:tc>
        <w:tc>
          <w:tcPr>
            <w:tcW w:w="3265" w:type="pct"/>
            <w:vAlign w:val="center"/>
          </w:tcPr>
          <w:p w14:paraId="665F6BDA">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模块内容：对本校学生的初次就业意数据向进行数据分析，支持数据可视化呈现，支持数据按照各维度分析，基于调研数据构建数据模型，说明本校各专业和院系的就业意向情况，汇总各重点人群的分布情况，功能包括但不限于</w:t>
            </w:r>
            <w:r>
              <w:rPr>
                <w:rFonts w:hint="eastAsia" w:ascii="宋体" w:hAnsi="宋体" w:eastAsia="宋体" w:cs="宋体"/>
                <w:color w:val="000000" w:themeColor="text1"/>
                <w:sz w:val="21"/>
                <w:szCs w:val="21"/>
                <w:lang w:eastAsia="zh-CN"/>
                <w14:textFill>
                  <w14:solidFill>
                    <w14:schemeClr w14:val="tx1"/>
                  </w14:solidFill>
                </w14:textFill>
              </w:rPr>
              <w:t>：</w:t>
            </w:r>
          </w:p>
          <w:p w14:paraId="75B96FCC">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需要支持学生基础数据的自动化导入和管理</w:t>
            </w:r>
          </w:p>
          <w:p w14:paraId="6602CAA3">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需要支持在线调研管理，支持问卷题目的编辑、修改和删除</w:t>
            </w:r>
          </w:p>
          <w:p w14:paraId="1424ADDA">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需要支持调研数据的回收监测和自动化分析</w:t>
            </w:r>
          </w:p>
          <w:p w14:paraId="5E2E477B">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需要提供完整且能反映在校生就业意向的指标体系，并支持指标体系的自定义管理</w:t>
            </w:r>
          </w:p>
          <w:p w14:paraId="307917DF">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5</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需要构建可视化的数据模型，直观反映学校在校生的就业意向情况，并对可能存在的问题进行预警</w:t>
            </w:r>
          </w:p>
          <w:p w14:paraId="309585DA">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需要支持分析模型能够精准监测各重点人群</w:t>
            </w:r>
          </w:p>
          <w:p w14:paraId="733CCCBE">
            <w:pPr>
              <w:keepNext w:val="0"/>
              <w:keepLines w:val="0"/>
              <w:pageBreakBefore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7.</w:t>
            </w:r>
            <w:r>
              <w:rPr>
                <w:rFonts w:hint="eastAsia" w:ascii="宋体" w:hAnsi="宋体" w:eastAsia="宋体" w:cs="宋体"/>
                <w:color w:val="000000" w:themeColor="text1"/>
                <w:sz w:val="21"/>
                <w:szCs w:val="21"/>
                <w14:textFill>
                  <w14:solidFill>
                    <w14:schemeClr w14:val="tx1"/>
                  </w14:solidFill>
                </w14:textFill>
              </w:rPr>
              <w:t>需支持分析模型能够监测典型慢就业人群</w:t>
            </w:r>
          </w:p>
          <w:p w14:paraId="7E8778F9">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8</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需要支持数据按届次进行纵向对比</w:t>
            </w:r>
          </w:p>
          <w:p w14:paraId="2E38F4A6">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9</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 xml:space="preserve"> 需要支持自动化生成《初次就业意向报告》</w:t>
            </w:r>
          </w:p>
          <w:p w14:paraId="5A0E5873">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10</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需要支持基于初次就业意向监测结果的AI咨询和建议</w:t>
            </w:r>
          </w:p>
        </w:tc>
      </w:tr>
      <w:tr w14:paraId="49F8B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34" w:type="pct"/>
            <w:vAlign w:val="center"/>
          </w:tcPr>
          <w:p w14:paraId="6051593C">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w:t>
            </w:r>
          </w:p>
        </w:tc>
        <w:tc>
          <w:tcPr>
            <w:tcW w:w="731" w:type="pct"/>
            <w:vMerge w:val="continue"/>
            <w:vAlign w:val="center"/>
          </w:tcPr>
          <w:p w14:paraId="2BD92AF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kern w:val="0"/>
                <w:sz w:val="21"/>
                <w:szCs w:val="21"/>
                <w14:textFill>
                  <w14:solidFill>
                    <w14:schemeClr w14:val="tx1"/>
                  </w14:solidFill>
                </w14:textFill>
              </w:rPr>
            </w:pPr>
          </w:p>
        </w:tc>
        <w:tc>
          <w:tcPr>
            <w:tcW w:w="770" w:type="pct"/>
            <w:vAlign w:val="center"/>
          </w:tcPr>
          <w:p w14:paraId="4552FDB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临毕业就业意向监测</w:t>
            </w:r>
          </w:p>
        </w:tc>
        <w:tc>
          <w:tcPr>
            <w:tcW w:w="3265" w:type="pct"/>
            <w:vAlign w:val="center"/>
          </w:tcPr>
          <w:p w14:paraId="1BDCD643">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模块内容：对本校学生的临毕业就业意向数据进行数据分析，支持数据可视化呈现，支持数据按照各维度分析，基于调研数据构建数据模型，说明本校各专业和院系的就业意向情况，汇总各重点人群的分布情况，功能包括但不限于</w:t>
            </w:r>
            <w:r>
              <w:rPr>
                <w:rFonts w:hint="eastAsia" w:ascii="宋体" w:hAnsi="宋体" w:eastAsia="宋体" w:cs="宋体"/>
                <w:color w:val="000000" w:themeColor="text1"/>
                <w:sz w:val="21"/>
                <w:szCs w:val="21"/>
                <w:lang w:eastAsia="zh-CN"/>
                <w14:textFill>
                  <w14:solidFill>
                    <w14:schemeClr w14:val="tx1"/>
                  </w14:solidFill>
                </w14:textFill>
              </w:rPr>
              <w:t>：</w:t>
            </w:r>
          </w:p>
          <w:p w14:paraId="02148E54">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需要支持学生基础数据的自动化导入和管理</w:t>
            </w:r>
          </w:p>
          <w:p w14:paraId="69A4D2A7">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需要支持在线调研管理，支持问卷题目的编辑、修改和删除</w:t>
            </w:r>
          </w:p>
          <w:p w14:paraId="73323BF7">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需要支持调研数据的回收监测和自动化分析</w:t>
            </w:r>
          </w:p>
          <w:p w14:paraId="693367C4">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需要提供完整且能反映在校生就业意向的指标体系，并支持指标体系的自定义管理</w:t>
            </w:r>
          </w:p>
          <w:p w14:paraId="7420BFEA">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5</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需要构建可视化的数据模型，直观反映学校在校生的就业意向情况，并对可能存在的问题进行预警</w:t>
            </w:r>
          </w:p>
          <w:p w14:paraId="276F5B90">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需要支持分析模型能够精准监测各重点人群</w:t>
            </w:r>
          </w:p>
          <w:p w14:paraId="761857FC">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7.</w:t>
            </w:r>
            <w:r>
              <w:rPr>
                <w:rFonts w:hint="eastAsia" w:ascii="宋体" w:hAnsi="宋体" w:eastAsia="宋体" w:cs="宋体"/>
                <w:color w:val="000000" w:themeColor="text1"/>
                <w:sz w:val="21"/>
                <w:szCs w:val="21"/>
                <w14:textFill>
                  <w14:solidFill>
                    <w14:schemeClr w14:val="tx1"/>
                  </w14:solidFill>
                </w14:textFill>
              </w:rPr>
              <w:t>需支持分析模型能够监测典型慢就业人群</w:t>
            </w:r>
          </w:p>
          <w:p w14:paraId="1EF452FD">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8</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需要支持数据按届次进行纵向对比</w:t>
            </w:r>
          </w:p>
          <w:p w14:paraId="1E2071E1">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9</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需要支持自动化生成《临毕业就业意向报告》</w:t>
            </w:r>
          </w:p>
          <w:p w14:paraId="5DBD8088">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10</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需要支持基于临毕业就业意向监测结果的AI咨询和建议</w:t>
            </w:r>
          </w:p>
        </w:tc>
      </w:tr>
      <w:tr w14:paraId="7A289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34" w:type="pct"/>
            <w:vAlign w:val="center"/>
          </w:tcPr>
          <w:p w14:paraId="65E974EB">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7</w:t>
            </w:r>
          </w:p>
        </w:tc>
        <w:tc>
          <w:tcPr>
            <w:tcW w:w="731" w:type="pct"/>
            <w:vMerge w:val="continue"/>
            <w:vAlign w:val="center"/>
          </w:tcPr>
          <w:p w14:paraId="4837532E">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kern w:val="0"/>
                <w:sz w:val="21"/>
                <w:szCs w:val="21"/>
                <w14:textFill>
                  <w14:solidFill>
                    <w14:schemeClr w14:val="tx1"/>
                  </w14:solidFill>
                </w14:textFill>
              </w:rPr>
            </w:pPr>
          </w:p>
        </w:tc>
        <w:tc>
          <w:tcPr>
            <w:tcW w:w="770" w:type="pct"/>
            <w:vAlign w:val="center"/>
          </w:tcPr>
          <w:p w14:paraId="0D7EF690">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毕业去向监测</w:t>
            </w:r>
          </w:p>
        </w:tc>
        <w:tc>
          <w:tcPr>
            <w:tcW w:w="3265" w:type="pct"/>
            <w:vAlign w:val="center"/>
          </w:tcPr>
          <w:p w14:paraId="5AC5A689">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模块内容：对本校应届毕业生的毕业去向数据进行数据分析，基于导入学生数据构建数据模型说明本校学生的毕业去向情况。功能包括但不限于：</w:t>
            </w:r>
          </w:p>
          <w:p w14:paraId="6B92C6C2">
            <w:pPr>
              <w:keepNext w:val="0"/>
              <w:keepLines w:val="0"/>
              <w:pageBreakBefore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w:t>
            </w:r>
            <w:r>
              <w:rPr>
                <w:rFonts w:hint="eastAsia" w:ascii="宋体" w:hAnsi="宋体" w:eastAsia="宋体" w:cs="宋体"/>
                <w:color w:val="000000" w:themeColor="text1"/>
                <w:sz w:val="21"/>
                <w:szCs w:val="21"/>
                <w14:textFill>
                  <w14:solidFill>
                    <w14:schemeClr w14:val="tx1"/>
                  </w14:solidFill>
                </w14:textFill>
              </w:rPr>
              <w:t>需支持学生基础数据的自动化导入和管理</w:t>
            </w:r>
          </w:p>
          <w:p w14:paraId="78DFFD61">
            <w:pPr>
              <w:keepNext w:val="0"/>
              <w:keepLines w:val="0"/>
              <w:pageBreakBefore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w:t>
            </w:r>
            <w:r>
              <w:rPr>
                <w:rFonts w:hint="eastAsia" w:ascii="宋体" w:hAnsi="宋体" w:eastAsia="宋体" w:cs="宋体"/>
                <w:color w:val="000000" w:themeColor="text1"/>
                <w:sz w:val="21"/>
                <w:szCs w:val="21"/>
                <w14:textFill>
                  <w14:solidFill>
                    <w14:schemeClr w14:val="tx1"/>
                  </w14:solidFill>
                </w14:textFill>
              </w:rPr>
              <w:t>需支持对学校学生整体毕业去向的分析</w:t>
            </w:r>
          </w:p>
          <w:p w14:paraId="44086AA6">
            <w:pPr>
              <w:keepNext w:val="0"/>
              <w:keepLines w:val="0"/>
              <w:pageBreakBefore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3.</w:t>
            </w:r>
            <w:r>
              <w:rPr>
                <w:rFonts w:hint="eastAsia" w:ascii="宋体" w:hAnsi="宋体" w:eastAsia="宋体" w:cs="宋体"/>
                <w:color w:val="000000" w:themeColor="text1"/>
                <w:sz w:val="21"/>
                <w:szCs w:val="21"/>
                <w14:textFill>
                  <w14:solidFill>
                    <w14:schemeClr w14:val="tx1"/>
                  </w14:solidFill>
                </w14:textFill>
              </w:rPr>
              <w:t>需支持对学校学生就业地区的分析</w:t>
            </w:r>
          </w:p>
          <w:p w14:paraId="11F03840">
            <w:pPr>
              <w:keepNext w:val="0"/>
              <w:keepLines w:val="0"/>
              <w:pageBreakBefore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4.</w:t>
            </w:r>
            <w:r>
              <w:rPr>
                <w:rFonts w:hint="eastAsia" w:ascii="宋体" w:hAnsi="宋体" w:eastAsia="宋体" w:cs="宋体"/>
                <w:color w:val="000000" w:themeColor="text1"/>
                <w:sz w:val="21"/>
                <w:szCs w:val="21"/>
                <w14:textFill>
                  <w14:solidFill>
                    <w14:schemeClr w14:val="tx1"/>
                  </w14:solidFill>
                </w14:textFill>
              </w:rPr>
              <w:t>需支持对学校学生就业行业、职业等就业特色分析</w:t>
            </w:r>
          </w:p>
          <w:p w14:paraId="47AAAFD7">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5.</w:t>
            </w:r>
            <w:r>
              <w:rPr>
                <w:rFonts w:hint="eastAsia" w:ascii="宋体" w:hAnsi="宋体" w:eastAsia="宋体" w:cs="宋体"/>
                <w:color w:val="000000" w:themeColor="text1"/>
                <w:sz w:val="21"/>
                <w:szCs w:val="21"/>
                <w14:textFill>
                  <w14:solidFill>
                    <w14:schemeClr w14:val="tx1"/>
                  </w14:solidFill>
                </w14:textFill>
              </w:rPr>
              <w:t>需支持对历年学生数据的横向对比</w:t>
            </w:r>
          </w:p>
        </w:tc>
      </w:tr>
      <w:tr w14:paraId="31B94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34" w:type="pct"/>
            <w:vAlign w:val="center"/>
          </w:tcPr>
          <w:p w14:paraId="01DA05C8">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8</w:t>
            </w:r>
          </w:p>
        </w:tc>
        <w:tc>
          <w:tcPr>
            <w:tcW w:w="731" w:type="pct"/>
            <w:vMerge w:val="continue"/>
            <w:vAlign w:val="center"/>
          </w:tcPr>
          <w:p w14:paraId="241C8CB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kern w:val="0"/>
                <w:sz w:val="21"/>
                <w:szCs w:val="21"/>
                <w14:textFill>
                  <w14:solidFill>
                    <w14:schemeClr w14:val="tx1"/>
                  </w14:solidFill>
                </w14:textFill>
              </w:rPr>
            </w:pPr>
          </w:p>
        </w:tc>
        <w:tc>
          <w:tcPr>
            <w:tcW w:w="770" w:type="pct"/>
            <w:vAlign w:val="center"/>
          </w:tcPr>
          <w:p w14:paraId="764F381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用人单位监测</w:t>
            </w:r>
          </w:p>
        </w:tc>
        <w:tc>
          <w:tcPr>
            <w:tcW w:w="3265" w:type="pct"/>
            <w:vAlign w:val="center"/>
          </w:tcPr>
          <w:p w14:paraId="582906D4">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模块内容：对用人单位进行调研，基于调研数据构建数据模型，反应用人单位对毕业生的满意程度。功能包括但不限于：</w:t>
            </w:r>
          </w:p>
          <w:p w14:paraId="38F7DFBD">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需要支持在线调研管理，支持问卷题目的编辑、修改和删除</w:t>
            </w:r>
          </w:p>
          <w:p w14:paraId="184F1EA5">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需要支持调研数据的回收监测和自动化分析</w:t>
            </w:r>
          </w:p>
          <w:p w14:paraId="2E575046">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需要提供完整且能反映用人单位满意度的指标体系，并支持指标体系的自定义管理</w:t>
            </w:r>
          </w:p>
          <w:p w14:paraId="6D42AB7A">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需要构建可视化的数据模型，直观反应用人单位的满意度</w:t>
            </w:r>
          </w:p>
        </w:tc>
      </w:tr>
    </w:tbl>
    <w:p w14:paraId="7C478C4C">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宋体" w:hAnsi="宋体" w:eastAsia="宋体" w:cs="宋体"/>
          <w:b/>
          <w:bCs/>
          <w:color w:val="000000" w:themeColor="text1"/>
          <w:kern w:val="2"/>
          <w:sz w:val="28"/>
          <w:szCs w:val="28"/>
          <w:lang w:val="en-US" w:eastAsia="zh-CN" w:bidi="ar-SA"/>
          <w14:textFill>
            <w14:solidFill>
              <w14:schemeClr w14:val="tx1"/>
            </w14:solidFill>
          </w14:textFill>
        </w:rPr>
      </w:pPr>
      <w:r>
        <w:rPr>
          <w:rFonts w:hint="eastAsia" w:ascii="宋体" w:hAnsi="宋体" w:cs="宋体"/>
          <w:b/>
          <w:bCs/>
          <w:color w:val="000000" w:themeColor="text1"/>
          <w:kern w:val="2"/>
          <w:sz w:val="28"/>
          <w:szCs w:val="28"/>
          <w:lang w:val="en-US" w:eastAsia="zh-CN" w:bidi="ar-SA"/>
          <w14:textFill>
            <w14:solidFill>
              <w14:schemeClr w14:val="tx1"/>
            </w14:solidFill>
          </w14:textFill>
        </w:rPr>
        <w:t>（二）撰写</w:t>
      </w:r>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毕业生就业质量年度报告</w:t>
      </w:r>
    </w:p>
    <w:p w14:paraId="02C03EB8">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b w:val="0"/>
          <w:color w:val="000000" w:themeColor="text1"/>
          <w:kern w:val="2"/>
          <w:sz w:val="28"/>
          <w:szCs w:val="28"/>
          <w:lang w:val="en-US" w:eastAsia="zh-CN" w:bidi="ar-SA"/>
          <w14:textFill>
            <w14:solidFill>
              <w14:schemeClr w14:val="tx1"/>
            </w14:solidFill>
          </w14:textFill>
        </w:rPr>
      </w:pPr>
      <w:r>
        <w:rPr>
          <w:rFonts w:hint="eastAsia" w:ascii="宋体" w:hAnsi="宋体" w:eastAsia="宋体" w:cs="宋体"/>
          <w:b w:val="0"/>
          <w:color w:val="000000" w:themeColor="text1"/>
          <w:kern w:val="2"/>
          <w:sz w:val="28"/>
          <w:szCs w:val="28"/>
          <w:lang w:val="en-US" w:eastAsia="zh-CN" w:bidi="ar-SA"/>
          <w14:textFill>
            <w14:solidFill>
              <w14:schemeClr w14:val="tx1"/>
            </w14:solidFill>
          </w14:textFill>
        </w:rPr>
        <w:t>就业质量年度报告，根据教育部对年报内容的需求，制定有针对性的调研问卷，完全覆盖就业质量年报要求所需的内容。报告大纲根据教育主管部门要求编制，确保年报内容完备。内容应包括但不限于以下内容：</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313"/>
        <w:gridCol w:w="7650"/>
      </w:tblGrid>
      <w:tr w14:paraId="0434F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9" w:hRule="atLeast"/>
          <w:jc w:val="center"/>
        </w:trPr>
        <w:tc>
          <w:tcPr>
            <w:tcW w:w="1161" w:type="pct"/>
            <w:tcMar>
              <w:top w:w="0" w:type="dxa"/>
              <w:left w:w="108" w:type="dxa"/>
              <w:bottom w:w="0" w:type="dxa"/>
              <w:right w:w="108" w:type="dxa"/>
            </w:tcMar>
            <w:vAlign w:val="center"/>
          </w:tcPr>
          <w:p w14:paraId="2AC8EE33">
            <w:pPr>
              <w:bidi w:val="0"/>
              <w:jc w:val="center"/>
              <w:rPr>
                <w:rFonts w:hint="eastAsia"/>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需求指标</w:t>
            </w:r>
          </w:p>
        </w:tc>
        <w:tc>
          <w:tcPr>
            <w:tcW w:w="3839" w:type="pct"/>
            <w:tcMar>
              <w:top w:w="0" w:type="dxa"/>
              <w:left w:w="108" w:type="dxa"/>
              <w:bottom w:w="0" w:type="dxa"/>
              <w:right w:w="108" w:type="dxa"/>
            </w:tcMar>
            <w:vAlign w:val="center"/>
          </w:tcPr>
          <w:p w14:paraId="2BF29998">
            <w:pPr>
              <w:bidi w:val="0"/>
              <w:jc w:val="center"/>
              <w:rPr>
                <w:rFonts w:hint="eastAsia"/>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指标说明</w:t>
            </w:r>
          </w:p>
        </w:tc>
      </w:tr>
      <w:tr w14:paraId="61F2E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161" w:type="pct"/>
            <w:tcMar>
              <w:top w:w="0" w:type="dxa"/>
              <w:left w:w="108" w:type="dxa"/>
              <w:bottom w:w="0" w:type="dxa"/>
              <w:right w:w="108" w:type="dxa"/>
            </w:tcMar>
            <w:vAlign w:val="center"/>
          </w:tcPr>
          <w:p w14:paraId="50EBBB2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就业基本情况</w:t>
            </w:r>
          </w:p>
        </w:tc>
        <w:tc>
          <w:tcPr>
            <w:tcW w:w="3839" w:type="pct"/>
            <w:tcMar>
              <w:top w:w="0" w:type="dxa"/>
              <w:left w:w="108" w:type="dxa"/>
              <w:bottom w:w="0" w:type="dxa"/>
              <w:right w:w="108" w:type="dxa"/>
            </w:tcMar>
            <w:vAlign w:val="center"/>
          </w:tcPr>
          <w:p w14:paraId="16281878">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包含毕业生的规模和结构、毕业生的毕业去向落实率及去向、毕业生的就业流向（包含行职业、单位、地区流向）、毕业生的升学情况、创业情况。</w:t>
            </w:r>
          </w:p>
        </w:tc>
      </w:tr>
      <w:tr w14:paraId="1B569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161" w:type="pct"/>
            <w:tcMar>
              <w:top w:w="0" w:type="dxa"/>
              <w:left w:w="108" w:type="dxa"/>
              <w:bottom w:w="0" w:type="dxa"/>
              <w:right w:w="108" w:type="dxa"/>
            </w:tcMar>
            <w:vAlign w:val="center"/>
          </w:tcPr>
          <w:p w14:paraId="19B89C07">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就业主要特点</w:t>
            </w:r>
          </w:p>
        </w:tc>
        <w:tc>
          <w:tcPr>
            <w:tcW w:w="3839" w:type="pct"/>
            <w:tcMar>
              <w:top w:w="0" w:type="dxa"/>
              <w:left w:w="108" w:type="dxa"/>
              <w:bottom w:w="0" w:type="dxa"/>
              <w:right w:w="108" w:type="dxa"/>
            </w:tcMar>
            <w:vAlign w:val="center"/>
          </w:tcPr>
          <w:p w14:paraId="5A344DE1">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包含毕业生对自身求职过程的评价，同时由学校提供其促进毕业生就业的政策措施，供应商整理并展示在报告中。</w:t>
            </w:r>
          </w:p>
        </w:tc>
      </w:tr>
      <w:tr w14:paraId="4AE97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161" w:type="pct"/>
            <w:tcMar>
              <w:top w:w="0" w:type="dxa"/>
              <w:left w:w="108" w:type="dxa"/>
              <w:bottom w:w="0" w:type="dxa"/>
              <w:right w:w="108" w:type="dxa"/>
            </w:tcMar>
            <w:vAlign w:val="center"/>
          </w:tcPr>
          <w:p w14:paraId="3A3CC5E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就业相关分析</w:t>
            </w:r>
          </w:p>
        </w:tc>
        <w:tc>
          <w:tcPr>
            <w:tcW w:w="3839" w:type="pct"/>
            <w:tcMar>
              <w:top w:w="0" w:type="dxa"/>
              <w:left w:w="108" w:type="dxa"/>
              <w:bottom w:w="0" w:type="dxa"/>
              <w:right w:w="108" w:type="dxa"/>
            </w:tcMar>
            <w:vAlign w:val="center"/>
          </w:tcPr>
          <w:p w14:paraId="667683B0">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分析毕业生的就业状况，包含毕业生就业的工作与专业相关度、就业现状满意度、职业期待吻合度、工作稳定性等指标，反映毕业生的就业质量。</w:t>
            </w:r>
          </w:p>
        </w:tc>
      </w:tr>
      <w:tr w14:paraId="0D006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161" w:type="pct"/>
            <w:tcMar>
              <w:top w:w="0" w:type="dxa"/>
              <w:left w:w="108" w:type="dxa"/>
              <w:bottom w:w="0" w:type="dxa"/>
              <w:right w:w="108" w:type="dxa"/>
            </w:tcMar>
            <w:vAlign w:val="center"/>
          </w:tcPr>
          <w:p w14:paraId="67F187E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就业发展趋势分析</w:t>
            </w:r>
          </w:p>
        </w:tc>
        <w:tc>
          <w:tcPr>
            <w:tcW w:w="3839" w:type="pct"/>
            <w:tcMar>
              <w:top w:w="0" w:type="dxa"/>
              <w:left w:w="108" w:type="dxa"/>
              <w:bottom w:w="0" w:type="dxa"/>
              <w:right w:w="108" w:type="dxa"/>
            </w:tcMar>
            <w:vAlign w:val="center"/>
          </w:tcPr>
          <w:p w14:paraId="70339BE5">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包含毕业生的毕业去向落实率及去向、就业流向及特点、就业状况的变化趋势，根据毕业生的就业趋势数据撰写就业趋势性研判的内容。</w:t>
            </w:r>
          </w:p>
        </w:tc>
      </w:tr>
      <w:tr w14:paraId="77496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161" w:type="pct"/>
            <w:tcMar>
              <w:top w:w="0" w:type="dxa"/>
              <w:left w:w="108" w:type="dxa"/>
              <w:bottom w:w="0" w:type="dxa"/>
              <w:right w:w="108" w:type="dxa"/>
            </w:tcMar>
            <w:vAlign w:val="center"/>
          </w:tcPr>
          <w:p w14:paraId="24F5E6C2">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对教育教学的反馈</w:t>
            </w:r>
          </w:p>
        </w:tc>
        <w:tc>
          <w:tcPr>
            <w:tcW w:w="3839" w:type="pct"/>
            <w:tcMar>
              <w:top w:w="0" w:type="dxa"/>
              <w:left w:w="108" w:type="dxa"/>
              <w:bottom w:w="0" w:type="dxa"/>
              <w:right w:w="108" w:type="dxa"/>
            </w:tcMar>
            <w:vAlign w:val="center"/>
          </w:tcPr>
          <w:p w14:paraId="40EA36D8">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分析毕业生对人才培养的反馈，包含毕业生对学校的满意度、对教学的满意度、对就业教育/服务的评价，根据就业和培养反馈数据从人才培养等方面撰写改进措施，学校也可以提供就业对招生、专业设置、人才培养反馈方面的内容，供应商整理并展示在报告中。</w:t>
            </w:r>
          </w:p>
        </w:tc>
      </w:tr>
      <w:tr w14:paraId="7AC23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161" w:type="pct"/>
            <w:tcMar>
              <w:top w:w="0" w:type="dxa"/>
              <w:left w:w="108" w:type="dxa"/>
              <w:bottom w:w="0" w:type="dxa"/>
              <w:right w:w="108" w:type="dxa"/>
            </w:tcMar>
            <w:vAlign w:val="center"/>
          </w:tcPr>
          <w:p w14:paraId="1DD39DE7">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用人单位评价</w:t>
            </w:r>
          </w:p>
        </w:tc>
        <w:tc>
          <w:tcPr>
            <w:tcW w:w="3839" w:type="pct"/>
            <w:tcMar>
              <w:top w:w="0" w:type="dxa"/>
              <w:left w:w="108" w:type="dxa"/>
              <w:bottom w:w="0" w:type="dxa"/>
              <w:right w:w="108" w:type="dxa"/>
            </w:tcMar>
            <w:vAlign w:val="center"/>
          </w:tcPr>
          <w:p w14:paraId="2DF22D61">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用人单位对毕业生的总体满意度、能力素质评价及用人单位对学校人才培养评价、就业工作评价</w:t>
            </w:r>
          </w:p>
        </w:tc>
      </w:tr>
    </w:tbl>
    <w:p w14:paraId="3C30F48E">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宋体" w:hAnsi="宋体" w:cs="宋体"/>
          <w:b/>
          <w:bCs/>
          <w:color w:val="000000" w:themeColor="text1"/>
          <w:kern w:val="2"/>
          <w:sz w:val="28"/>
          <w:szCs w:val="28"/>
          <w:lang w:val="en-US" w:eastAsia="zh-CN" w:bidi="ar-SA"/>
          <w14:textFill>
            <w14:solidFill>
              <w14:schemeClr w14:val="tx1"/>
            </w14:solidFill>
          </w14:textFill>
        </w:rPr>
      </w:pPr>
    </w:p>
    <w:p w14:paraId="46CF280B">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宋体" w:hAnsi="宋体" w:cs="宋体"/>
          <w:b/>
          <w:bCs/>
          <w:color w:val="000000" w:themeColor="text1"/>
          <w:kern w:val="2"/>
          <w:sz w:val="28"/>
          <w:szCs w:val="28"/>
          <w:lang w:val="en-US" w:eastAsia="zh-CN" w:bidi="ar-SA"/>
          <w14:textFill>
            <w14:solidFill>
              <w14:schemeClr w14:val="tx1"/>
            </w14:solidFill>
          </w14:textFill>
        </w:rPr>
      </w:pPr>
      <w:r>
        <w:rPr>
          <w:rFonts w:hint="eastAsia" w:ascii="宋体" w:hAnsi="宋体" w:cs="宋体"/>
          <w:b/>
          <w:bCs/>
          <w:color w:val="000000" w:themeColor="text1"/>
          <w:kern w:val="2"/>
          <w:sz w:val="28"/>
          <w:szCs w:val="28"/>
          <w:lang w:val="en-US" w:eastAsia="zh-CN" w:bidi="ar-SA"/>
          <w14:textFill>
            <w14:solidFill>
              <w14:schemeClr w14:val="tx1"/>
            </w14:solidFill>
          </w14:textFill>
        </w:rPr>
        <w:t xml:space="preserve">（三）报告大纲主要内容 </w:t>
      </w:r>
    </w:p>
    <w:p w14:paraId="4183AF33">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000000" w:themeColor="text1"/>
          <w:sz w:val="21"/>
          <w:szCs w:val="21"/>
          <w14:textFill>
            <w14:solidFill>
              <w14:schemeClr w14:val="tx1"/>
            </w14:solidFill>
          </w14:textFill>
        </w:rPr>
      </w:pPr>
      <w:bookmarkStart w:id="0" w:name="_Toc517698018"/>
      <w:r>
        <w:rPr>
          <w:rFonts w:hint="eastAsia" w:ascii="宋体" w:hAnsi="宋体" w:eastAsia="宋体" w:cs="宋体"/>
          <w:b/>
          <w:color w:val="000000" w:themeColor="text1"/>
          <w:sz w:val="21"/>
          <w:szCs w:val="21"/>
          <w14:textFill>
            <w14:solidFill>
              <w14:schemeClr w14:val="tx1"/>
            </w14:solidFill>
          </w14:textFill>
        </w:rPr>
        <w:t>学校概况</w:t>
      </w:r>
    </w:p>
    <w:p w14:paraId="73E51BC7">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报告说明</w:t>
      </w:r>
    </w:p>
    <w:p w14:paraId="3767A2D8">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总体概述</w:t>
      </w:r>
    </w:p>
    <w:p w14:paraId="1DDF148F">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第一章 毕业生就业基本情况</w:t>
      </w:r>
    </w:p>
    <w:p w14:paraId="12246E7F">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一、规模与结构</w:t>
      </w:r>
      <w:bookmarkStart w:id="1" w:name="_Hlk15314788"/>
      <w:r>
        <w:rPr>
          <w:rFonts w:hint="eastAsia" w:ascii="宋体" w:hAnsi="宋体" w:eastAsia="宋体" w:cs="宋体"/>
          <w:b/>
          <w:color w:val="000000" w:themeColor="text1"/>
          <w:sz w:val="21"/>
          <w:szCs w:val="21"/>
          <w14:textFill>
            <w14:solidFill>
              <w14:schemeClr w14:val="tx1"/>
            </w14:solidFill>
          </w14:textFill>
        </w:rPr>
        <w:t>【客观数据】</w:t>
      </w:r>
      <w:bookmarkEnd w:id="1"/>
    </w:p>
    <w:p w14:paraId="5FE4B53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（一）总体规模（含总体规模、性别结构）</w:t>
      </w:r>
    </w:p>
    <w:p w14:paraId="6409474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（二）结构分布</w:t>
      </w:r>
    </w:p>
    <w:p w14:paraId="52FFC355">
      <w:pPr>
        <w:keepNext w:val="0"/>
        <w:keepLines w:val="0"/>
        <w:pageBreakBefore w:val="0"/>
        <w:widowControl w:val="0"/>
        <w:kinsoku/>
        <w:wordWrap/>
        <w:overflowPunct/>
        <w:topLinePunct w:val="0"/>
        <w:autoSpaceDE/>
        <w:autoSpaceDN/>
        <w:bidi w:val="0"/>
        <w:adjustRightInd/>
        <w:snapToGrid/>
        <w:spacing w:line="360" w:lineRule="auto"/>
        <w:ind w:firstLine="991" w:firstLineChars="472"/>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1.院系与专业结构</w:t>
      </w:r>
    </w:p>
    <w:p w14:paraId="38F58698">
      <w:pPr>
        <w:keepNext w:val="0"/>
        <w:keepLines w:val="0"/>
        <w:pageBreakBefore w:val="0"/>
        <w:widowControl w:val="0"/>
        <w:kinsoku/>
        <w:wordWrap/>
        <w:overflowPunct/>
        <w:topLinePunct w:val="0"/>
        <w:autoSpaceDE/>
        <w:autoSpaceDN/>
        <w:bidi w:val="0"/>
        <w:adjustRightInd/>
        <w:snapToGrid/>
        <w:spacing w:line="360" w:lineRule="auto"/>
        <w:ind w:firstLine="991" w:firstLineChars="472"/>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2.生源结构</w:t>
      </w:r>
    </w:p>
    <w:p w14:paraId="3E395294">
      <w:pPr>
        <w:keepNext w:val="0"/>
        <w:keepLines w:val="0"/>
        <w:pageBreakBefore w:val="0"/>
        <w:widowControl w:val="0"/>
        <w:kinsoku/>
        <w:wordWrap/>
        <w:overflowPunct/>
        <w:topLinePunct w:val="0"/>
        <w:autoSpaceDE/>
        <w:autoSpaceDN/>
        <w:bidi w:val="0"/>
        <w:adjustRightInd/>
        <w:snapToGrid/>
        <w:spacing w:line="360" w:lineRule="auto"/>
        <w:ind w:firstLine="991" w:firstLineChars="472"/>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3.民族结构</w:t>
      </w:r>
    </w:p>
    <w:bookmarkEnd w:id="0"/>
    <w:p w14:paraId="3821DE0B">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000000" w:themeColor="text1"/>
          <w:sz w:val="21"/>
          <w:szCs w:val="21"/>
          <w14:textFill>
            <w14:solidFill>
              <w14:schemeClr w14:val="tx1"/>
            </w14:solidFill>
          </w14:textFill>
        </w:rPr>
      </w:pPr>
      <w:bookmarkStart w:id="2" w:name="_Toc517698021"/>
      <w:r>
        <w:rPr>
          <w:rFonts w:hint="eastAsia" w:ascii="宋体" w:hAnsi="宋体" w:eastAsia="宋体" w:cs="宋体"/>
          <w:b/>
          <w:color w:val="000000" w:themeColor="text1"/>
          <w:sz w:val="21"/>
          <w:szCs w:val="21"/>
          <w14:textFill>
            <w14:solidFill>
              <w14:schemeClr w14:val="tx1"/>
            </w14:solidFill>
          </w14:textFill>
        </w:rPr>
        <w:t>二、毕业去向及落实率【客观数据，含初次</w:t>
      </w:r>
      <w:r>
        <w:rPr>
          <w:rFonts w:hint="eastAsia" w:ascii="宋体" w:hAnsi="宋体" w:cs="宋体"/>
          <w:b/>
          <w:color w:val="000000" w:themeColor="text1"/>
          <w:sz w:val="21"/>
          <w:szCs w:val="21"/>
          <w:lang w:val="en-US" w:eastAsia="zh-CN"/>
          <w14:textFill>
            <w14:solidFill>
              <w14:schemeClr w14:val="tx1"/>
            </w14:solidFill>
          </w14:textFill>
        </w:rPr>
        <w:t>落实</w:t>
      </w:r>
      <w:r>
        <w:rPr>
          <w:rFonts w:hint="eastAsia" w:ascii="宋体" w:hAnsi="宋体" w:eastAsia="宋体" w:cs="宋体"/>
          <w:b/>
          <w:color w:val="000000" w:themeColor="text1"/>
          <w:sz w:val="21"/>
          <w:szCs w:val="21"/>
          <w14:textFill>
            <w14:solidFill>
              <w14:schemeClr w14:val="tx1"/>
            </w14:solidFill>
          </w14:textFill>
        </w:rPr>
        <w:t>率，年终</w:t>
      </w:r>
      <w:r>
        <w:rPr>
          <w:rFonts w:hint="eastAsia" w:ascii="宋体" w:hAnsi="宋体" w:cs="宋体"/>
          <w:b/>
          <w:color w:val="000000" w:themeColor="text1"/>
          <w:sz w:val="21"/>
          <w:szCs w:val="21"/>
          <w:lang w:val="en-US" w:eastAsia="zh-CN"/>
          <w14:textFill>
            <w14:solidFill>
              <w14:schemeClr w14:val="tx1"/>
            </w14:solidFill>
          </w14:textFill>
        </w:rPr>
        <w:t>落实</w:t>
      </w:r>
      <w:r>
        <w:rPr>
          <w:rFonts w:hint="eastAsia" w:ascii="宋体" w:hAnsi="宋体" w:eastAsia="宋体" w:cs="宋体"/>
          <w:b/>
          <w:color w:val="000000" w:themeColor="text1"/>
          <w:sz w:val="21"/>
          <w:szCs w:val="21"/>
          <w14:textFill>
            <w14:solidFill>
              <w14:schemeClr w14:val="tx1"/>
            </w14:solidFill>
          </w14:textFill>
        </w:rPr>
        <w:t>率】</w:t>
      </w:r>
    </w:p>
    <w:p w14:paraId="0650238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（一）总体毕业去向及落实率</w:t>
      </w:r>
    </w:p>
    <w:p w14:paraId="4B6F386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bookmarkStart w:id="3" w:name="_Hlk14168183"/>
      <w:r>
        <w:rPr>
          <w:rFonts w:hint="eastAsia" w:ascii="宋体" w:hAnsi="宋体" w:eastAsia="宋体" w:cs="宋体"/>
          <w:color w:val="000000" w:themeColor="text1"/>
          <w:sz w:val="21"/>
          <w:szCs w:val="21"/>
          <w14:textFill>
            <w14:solidFill>
              <w14:schemeClr w14:val="tx1"/>
            </w14:solidFill>
          </w14:textFill>
        </w:rPr>
        <w:t>（二）</w:t>
      </w:r>
      <w:bookmarkEnd w:id="3"/>
      <w:r>
        <w:rPr>
          <w:rFonts w:hint="eastAsia" w:ascii="宋体" w:hAnsi="宋体" w:eastAsia="宋体" w:cs="宋体"/>
          <w:color w:val="000000" w:themeColor="text1"/>
          <w:sz w:val="21"/>
          <w:szCs w:val="21"/>
          <w14:textFill>
            <w14:solidFill>
              <w14:schemeClr w14:val="tx1"/>
            </w14:solidFill>
          </w14:textFill>
        </w:rPr>
        <w:t>各院系/专业毕业去向及落实率</w:t>
      </w:r>
    </w:p>
    <w:p w14:paraId="04D46D4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（三）不同特征群体毕业生毕业去向及落实率</w:t>
      </w:r>
    </w:p>
    <w:p w14:paraId="6471727E">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三、社会贡献度【客观数据】</w:t>
      </w:r>
    </w:p>
    <w:p w14:paraId="6F4237F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（一）</w:t>
      </w:r>
      <w:bookmarkStart w:id="4" w:name="_Hlk45788053"/>
      <w:r>
        <w:rPr>
          <w:rFonts w:hint="eastAsia" w:ascii="宋体" w:hAnsi="宋体" w:eastAsia="宋体" w:cs="宋体"/>
          <w:color w:val="000000" w:themeColor="text1"/>
          <w:sz w:val="21"/>
          <w:szCs w:val="21"/>
          <w14:textFill>
            <w14:solidFill>
              <w14:schemeClr w14:val="tx1"/>
            </w14:solidFill>
          </w14:textFill>
        </w:rPr>
        <w:t>就业地区</w:t>
      </w:r>
      <w:bookmarkEnd w:id="4"/>
    </w:p>
    <w:p w14:paraId="5A6A0A05">
      <w:pPr>
        <w:keepNext w:val="0"/>
        <w:keepLines w:val="0"/>
        <w:pageBreakBefore w:val="0"/>
        <w:widowControl w:val="0"/>
        <w:kinsoku/>
        <w:wordWrap/>
        <w:overflowPunct/>
        <w:topLinePunct w:val="0"/>
        <w:autoSpaceDE/>
        <w:autoSpaceDN/>
        <w:bidi w:val="0"/>
        <w:adjustRightInd/>
        <w:snapToGrid/>
        <w:spacing w:line="360" w:lineRule="auto"/>
        <w:ind w:firstLine="991" w:firstLineChars="472"/>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1.就业省份</w:t>
      </w:r>
    </w:p>
    <w:p w14:paraId="310F556F">
      <w:pPr>
        <w:keepNext w:val="0"/>
        <w:keepLines w:val="0"/>
        <w:pageBreakBefore w:val="0"/>
        <w:widowControl w:val="0"/>
        <w:kinsoku/>
        <w:wordWrap/>
        <w:overflowPunct/>
        <w:topLinePunct w:val="0"/>
        <w:autoSpaceDE/>
        <w:autoSpaceDN/>
        <w:bidi w:val="0"/>
        <w:adjustRightInd/>
        <w:snapToGrid/>
        <w:spacing w:line="360" w:lineRule="auto"/>
        <w:ind w:firstLine="991" w:firstLineChars="472"/>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2.省内就业城市</w:t>
      </w:r>
    </w:p>
    <w:p w14:paraId="344D4137">
      <w:pPr>
        <w:keepNext w:val="0"/>
        <w:keepLines w:val="0"/>
        <w:pageBreakBefore w:val="0"/>
        <w:widowControl w:val="0"/>
        <w:kinsoku/>
        <w:wordWrap/>
        <w:overflowPunct/>
        <w:topLinePunct w:val="0"/>
        <w:autoSpaceDE/>
        <w:autoSpaceDN/>
        <w:bidi w:val="0"/>
        <w:adjustRightInd/>
        <w:snapToGrid/>
        <w:spacing w:line="360" w:lineRule="auto"/>
        <w:ind w:firstLine="991" w:firstLineChars="472"/>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3.生源地与就业地交叉分析</w:t>
      </w:r>
    </w:p>
    <w:p w14:paraId="12CBB62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（二）就业行业</w:t>
      </w:r>
    </w:p>
    <w:p w14:paraId="2C186BA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（三）就业职业</w:t>
      </w:r>
    </w:p>
    <w:p w14:paraId="3FE601C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（四）就业单位</w:t>
      </w:r>
    </w:p>
    <w:p w14:paraId="75DF7759">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四、服务重点领域就业情况</w:t>
      </w:r>
    </w:p>
    <w:p w14:paraId="18F290C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（一）国家战略导向单位就业</w:t>
      </w:r>
    </w:p>
    <w:p w14:paraId="2CA947D0">
      <w:pPr>
        <w:keepNext w:val="0"/>
        <w:keepLines w:val="0"/>
        <w:pageBreakBefore w:val="0"/>
        <w:widowControl w:val="0"/>
        <w:kinsoku/>
        <w:wordWrap/>
        <w:overflowPunct/>
        <w:topLinePunct w:val="0"/>
        <w:autoSpaceDE/>
        <w:autoSpaceDN/>
        <w:bidi w:val="0"/>
        <w:adjustRightInd/>
        <w:snapToGrid/>
        <w:spacing w:line="360" w:lineRule="auto"/>
        <w:ind w:firstLine="991" w:firstLineChars="472"/>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1.中西部就业</w:t>
      </w:r>
    </w:p>
    <w:p w14:paraId="7534B367">
      <w:pPr>
        <w:keepNext w:val="0"/>
        <w:keepLines w:val="0"/>
        <w:pageBreakBefore w:val="0"/>
        <w:widowControl w:val="0"/>
        <w:kinsoku/>
        <w:wordWrap/>
        <w:overflowPunct/>
        <w:topLinePunct w:val="0"/>
        <w:autoSpaceDE/>
        <w:autoSpaceDN/>
        <w:bidi w:val="0"/>
        <w:adjustRightInd/>
        <w:snapToGrid/>
        <w:spacing w:line="360" w:lineRule="auto"/>
        <w:ind w:firstLine="991" w:firstLineChars="472"/>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2.基层就业</w:t>
      </w:r>
    </w:p>
    <w:p w14:paraId="01D36325">
      <w:pPr>
        <w:keepNext w:val="0"/>
        <w:keepLines w:val="0"/>
        <w:pageBreakBefore w:val="0"/>
        <w:widowControl w:val="0"/>
        <w:kinsoku/>
        <w:wordWrap/>
        <w:overflowPunct/>
        <w:topLinePunct w:val="0"/>
        <w:autoSpaceDE/>
        <w:autoSpaceDN/>
        <w:bidi w:val="0"/>
        <w:adjustRightInd/>
        <w:snapToGrid/>
        <w:spacing w:line="360" w:lineRule="auto"/>
        <w:ind w:firstLine="991" w:firstLineChars="472"/>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3.应征义务兵</w:t>
      </w:r>
    </w:p>
    <w:p w14:paraId="258F252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（二）国家重点区域就业</w:t>
      </w:r>
    </w:p>
    <w:p w14:paraId="7F906703">
      <w:pPr>
        <w:keepNext w:val="0"/>
        <w:keepLines w:val="0"/>
        <w:pageBreakBefore w:val="0"/>
        <w:widowControl w:val="0"/>
        <w:kinsoku/>
        <w:wordWrap/>
        <w:overflowPunct/>
        <w:topLinePunct w:val="0"/>
        <w:autoSpaceDE/>
        <w:autoSpaceDN/>
        <w:bidi w:val="0"/>
        <w:adjustRightInd/>
        <w:snapToGrid/>
        <w:spacing w:line="360" w:lineRule="auto"/>
        <w:ind w:firstLine="991" w:firstLineChars="472"/>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1.京津冀经济圈</w:t>
      </w:r>
    </w:p>
    <w:p w14:paraId="61CCD0E1">
      <w:pPr>
        <w:keepNext w:val="0"/>
        <w:keepLines w:val="0"/>
        <w:pageBreakBefore w:val="0"/>
        <w:widowControl w:val="0"/>
        <w:kinsoku/>
        <w:wordWrap/>
        <w:overflowPunct/>
        <w:topLinePunct w:val="0"/>
        <w:autoSpaceDE/>
        <w:autoSpaceDN/>
        <w:bidi w:val="0"/>
        <w:adjustRightInd/>
        <w:snapToGrid/>
        <w:spacing w:line="360" w:lineRule="auto"/>
        <w:ind w:firstLine="991" w:firstLineChars="472"/>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2.“一带一路”经济带</w:t>
      </w:r>
    </w:p>
    <w:p w14:paraId="09762C12">
      <w:pPr>
        <w:keepNext w:val="0"/>
        <w:keepLines w:val="0"/>
        <w:pageBreakBefore w:val="0"/>
        <w:widowControl w:val="0"/>
        <w:kinsoku/>
        <w:wordWrap/>
        <w:overflowPunct/>
        <w:topLinePunct w:val="0"/>
        <w:autoSpaceDE/>
        <w:autoSpaceDN/>
        <w:bidi w:val="0"/>
        <w:adjustRightInd/>
        <w:snapToGrid/>
        <w:spacing w:line="360" w:lineRule="auto"/>
        <w:ind w:firstLine="991" w:firstLineChars="472"/>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3.长江经济带</w:t>
      </w:r>
    </w:p>
    <w:p w14:paraId="15856A56">
      <w:pPr>
        <w:keepNext w:val="0"/>
        <w:keepLines w:val="0"/>
        <w:pageBreakBefore w:val="0"/>
        <w:widowControl w:val="0"/>
        <w:kinsoku/>
        <w:wordWrap/>
        <w:overflowPunct/>
        <w:topLinePunct w:val="0"/>
        <w:autoSpaceDE/>
        <w:autoSpaceDN/>
        <w:bidi w:val="0"/>
        <w:adjustRightInd/>
        <w:snapToGrid/>
        <w:spacing w:line="360" w:lineRule="auto"/>
        <w:ind w:firstLine="991" w:firstLineChars="472"/>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4.粤港澳大湾区</w:t>
      </w:r>
    </w:p>
    <w:p w14:paraId="3A4D16C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（三）行业领军企业就业</w:t>
      </w:r>
    </w:p>
    <w:p w14:paraId="3A6F5FE1">
      <w:pPr>
        <w:keepNext w:val="0"/>
        <w:keepLines w:val="0"/>
        <w:pageBreakBefore w:val="0"/>
        <w:widowControl w:val="0"/>
        <w:kinsoku/>
        <w:wordWrap/>
        <w:overflowPunct/>
        <w:topLinePunct w:val="0"/>
        <w:autoSpaceDE/>
        <w:autoSpaceDN/>
        <w:bidi w:val="0"/>
        <w:adjustRightInd/>
        <w:snapToGrid/>
        <w:spacing w:line="360" w:lineRule="auto"/>
        <w:ind w:firstLine="991" w:firstLineChars="472"/>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1.上市企业</w:t>
      </w:r>
    </w:p>
    <w:p w14:paraId="5DBE0C2F">
      <w:pPr>
        <w:keepNext w:val="0"/>
        <w:keepLines w:val="0"/>
        <w:pageBreakBefore w:val="0"/>
        <w:widowControl w:val="0"/>
        <w:kinsoku/>
        <w:wordWrap/>
        <w:overflowPunct/>
        <w:topLinePunct w:val="0"/>
        <w:autoSpaceDE/>
        <w:autoSpaceDN/>
        <w:bidi w:val="0"/>
        <w:adjustRightInd/>
        <w:snapToGrid/>
        <w:spacing w:line="360" w:lineRule="auto"/>
        <w:ind w:firstLine="991" w:firstLineChars="472"/>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2.国家级专精特新企业</w:t>
      </w:r>
    </w:p>
    <w:p w14:paraId="5EE651EC">
      <w:pPr>
        <w:keepNext w:val="0"/>
        <w:keepLines w:val="0"/>
        <w:pageBreakBefore w:val="0"/>
        <w:widowControl w:val="0"/>
        <w:kinsoku/>
        <w:wordWrap/>
        <w:overflowPunct/>
        <w:topLinePunct w:val="0"/>
        <w:autoSpaceDE/>
        <w:autoSpaceDN/>
        <w:bidi w:val="0"/>
        <w:adjustRightInd/>
        <w:snapToGrid/>
        <w:spacing w:line="360" w:lineRule="auto"/>
        <w:ind w:firstLine="991" w:firstLineChars="472"/>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3.国家高新技术企业</w:t>
      </w:r>
    </w:p>
    <w:p w14:paraId="44E1A553">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五、服务地方重点产业就业情况</w:t>
      </w:r>
    </w:p>
    <w:p w14:paraId="1F902BC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（一）辽宁新兴产业就业</w:t>
      </w:r>
    </w:p>
    <w:p w14:paraId="78EC6E3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（二）辽阳市就业情况（就业人数占比，就业主要行业）</w:t>
      </w:r>
    </w:p>
    <w:p w14:paraId="214C6C80">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六、境内升学与创业情况【调研数据】</w:t>
      </w:r>
    </w:p>
    <w:p w14:paraId="0BEB398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（一）境内升学</w:t>
      </w:r>
    </w:p>
    <w:p w14:paraId="5A0BA1E6">
      <w:pPr>
        <w:keepNext w:val="0"/>
        <w:keepLines w:val="0"/>
        <w:pageBreakBefore w:val="0"/>
        <w:widowControl w:val="0"/>
        <w:kinsoku/>
        <w:wordWrap/>
        <w:overflowPunct/>
        <w:topLinePunct w:val="0"/>
        <w:autoSpaceDE/>
        <w:autoSpaceDN/>
        <w:bidi w:val="0"/>
        <w:adjustRightInd/>
        <w:snapToGrid/>
        <w:spacing w:line="360" w:lineRule="auto"/>
        <w:ind w:firstLine="991" w:firstLineChars="472"/>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1.境内升学率</w:t>
      </w:r>
    </w:p>
    <w:p w14:paraId="0B4EDFEE">
      <w:pPr>
        <w:keepNext w:val="0"/>
        <w:keepLines w:val="0"/>
        <w:pageBreakBefore w:val="0"/>
        <w:widowControl w:val="0"/>
        <w:kinsoku/>
        <w:wordWrap/>
        <w:overflowPunct/>
        <w:topLinePunct w:val="0"/>
        <w:autoSpaceDE/>
        <w:autoSpaceDN/>
        <w:bidi w:val="0"/>
        <w:adjustRightInd/>
        <w:snapToGrid/>
        <w:spacing w:line="360" w:lineRule="auto"/>
        <w:ind w:firstLine="991" w:firstLineChars="472"/>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2.境内升学原因</w:t>
      </w:r>
    </w:p>
    <w:p w14:paraId="6BF16C19">
      <w:pPr>
        <w:keepNext w:val="0"/>
        <w:keepLines w:val="0"/>
        <w:pageBreakBefore w:val="0"/>
        <w:widowControl w:val="0"/>
        <w:kinsoku/>
        <w:wordWrap/>
        <w:overflowPunct/>
        <w:topLinePunct w:val="0"/>
        <w:autoSpaceDE/>
        <w:autoSpaceDN/>
        <w:bidi w:val="0"/>
        <w:adjustRightInd/>
        <w:snapToGrid/>
        <w:spacing w:line="360" w:lineRule="auto"/>
        <w:ind w:firstLine="991" w:firstLineChars="472"/>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3.升学专业相关度</w:t>
      </w:r>
    </w:p>
    <w:p w14:paraId="27CCF597">
      <w:pPr>
        <w:keepNext w:val="0"/>
        <w:keepLines w:val="0"/>
        <w:pageBreakBefore w:val="0"/>
        <w:widowControl w:val="0"/>
        <w:kinsoku/>
        <w:wordWrap/>
        <w:overflowPunct/>
        <w:topLinePunct w:val="0"/>
        <w:autoSpaceDE/>
        <w:autoSpaceDN/>
        <w:bidi w:val="0"/>
        <w:adjustRightInd/>
        <w:snapToGrid/>
        <w:spacing w:line="360" w:lineRule="auto"/>
        <w:ind w:firstLine="991" w:firstLineChars="472"/>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4.跨专业升学原因</w:t>
      </w:r>
    </w:p>
    <w:p w14:paraId="7CF67B1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（二）自主创业</w:t>
      </w:r>
    </w:p>
    <w:p w14:paraId="16DD2E60">
      <w:pPr>
        <w:keepNext w:val="0"/>
        <w:keepLines w:val="0"/>
        <w:pageBreakBefore w:val="0"/>
        <w:widowControl w:val="0"/>
        <w:kinsoku/>
        <w:wordWrap/>
        <w:overflowPunct/>
        <w:topLinePunct w:val="0"/>
        <w:autoSpaceDE/>
        <w:autoSpaceDN/>
        <w:bidi w:val="0"/>
        <w:adjustRightInd/>
        <w:snapToGrid/>
        <w:spacing w:line="360" w:lineRule="auto"/>
        <w:ind w:firstLine="991" w:firstLineChars="472"/>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1.创业率</w:t>
      </w:r>
    </w:p>
    <w:p w14:paraId="3E48C6A8">
      <w:pPr>
        <w:keepNext w:val="0"/>
        <w:keepLines w:val="0"/>
        <w:pageBreakBefore w:val="0"/>
        <w:widowControl w:val="0"/>
        <w:kinsoku/>
        <w:wordWrap/>
        <w:overflowPunct/>
        <w:topLinePunct w:val="0"/>
        <w:autoSpaceDE/>
        <w:autoSpaceDN/>
        <w:bidi w:val="0"/>
        <w:adjustRightInd/>
        <w:snapToGrid/>
        <w:spacing w:line="360" w:lineRule="auto"/>
        <w:ind w:firstLine="991" w:firstLineChars="472"/>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2.创业行业</w:t>
      </w:r>
    </w:p>
    <w:p w14:paraId="08F9F433">
      <w:pPr>
        <w:keepNext w:val="0"/>
        <w:keepLines w:val="0"/>
        <w:pageBreakBefore w:val="0"/>
        <w:widowControl w:val="0"/>
        <w:kinsoku/>
        <w:wordWrap/>
        <w:overflowPunct/>
        <w:topLinePunct w:val="0"/>
        <w:autoSpaceDE/>
        <w:autoSpaceDN/>
        <w:bidi w:val="0"/>
        <w:adjustRightInd/>
        <w:snapToGrid/>
        <w:spacing w:line="360" w:lineRule="auto"/>
        <w:ind w:firstLine="991" w:firstLineChars="472"/>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3.创业类型</w:t>
      </w:r>
    </w:p>
    <w:p w14:paraId="781A01D8">
      <w:pPr>
        <w:keepNext w:val="0"/>
        <w:keepLines w:val="0"/>
        <w:pageBreakBefore w:val="0"/>
        <w:widowControl w:val="0"/>
        <w:kinsoku/>
        <w:wordWrap/>
        <w:overflowPunct/>
        <w:topLinePunct w:val="0"/>
        <w:autoSpaceDE/>
        <w:autoSpaceDN/>
        <w:bidi w:val="0"/>
        <w:adjustRightInd/>
        <w:snapToGrid/>
        <w:spacing w:line="360" w:lineRule="auto"/>
        <w:ind w:firstLine="991" w:firstLineChars="472"/>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4.专业知识对创业的帮助度</w:t>
      </w:r>
    </w:p>
    <w:p w14:paraId="18C5B9F3">
      <w:pPr>
        <w:keepNext w:val="0"/>
        <w:keepLines w:val="0"/>
        <w:pageBreakBefore w:val="0"/>
        <w:widowControl w:val="0"/>
        <w:kinsoku/>
        <w:wordWrap/>
        <w:overflowPunct/>
        <w:topLinePunct w:val="0"/>
        <w:autoSpaceDE/>
        <w:autoSpaceDN/>
        <w:bidi w:val="0"/>
        <w:adjustRightInd/>
        <w:snapToGrid/>
        <w:spacing w:line="360" w:lineRule="auto"/>
        <w:ind w:firstLine="991" w:firstLineChars="472"/>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5.创业困难</w:t>
      </w:r>
    </w:p>
    <w:p w14:paraId="747B6A21">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七、求职过程分析【调研数据】</w:t>
      </w:r>
    </w:p>
    <w:p w14:paraId="3DA35F7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（一）获取信息来源及求职成功途径</w:t>
      </w:r>
    </w:p>
    <w:p w14:paraId="3F91117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（二）择业关注因素及求职成功因素</w:t>
      </w:r>
    </w:p>
    <w:p w14:paraId="3B572060">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八、待就业群体分析</w:t>
      </w:r>
    </w:p>
    <w:p w14:paraId="1881D42D">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第二章 就创业工作举措</w:t>
      </w:r>
    </w:p>
    <w:p w14:paraId="47B578E5">
      <w:pPr>
        <w:keepNext w:val="0"/>
        <w:keepLines w:val="0"/>
        <w:pageBreakBefore w:val="0"/>
        <w:widowControl w:val="0"/>
        <w:kinsoku/>
        <w:wordWrap/>
        <w:overflowPunct/>
        <w:topLinePunct w:val="0"/>
        <w:autoSpaceDE/>
        <w:autoSpaceDN/>
        <w:bidi w:val="0"/>
        <w:adjustRightInd/>
        <w:snapToGrid/>
        <w:spacing w:line="360" w:lineRule="auto"/>
        <w:ind w:left="567" w:leftChars="27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*注：此部分</w:t>
      </w:r>
      <w:r>
        <w:rPr>
          <w:rFonts w:hint="eastAsia" w:ascii="宋体" w:hAnsi="宋体" w:eastAsia="宋体" w:cs="宋体"/>
          <w:color w:val="000000" w:themeColor="text1"/>
          <w:sz w:val="21"/>
          <w:szCs w:val="21"/>
          <w:lang w:val="en-US" w:eastAsia="zh-CN"/>
          <w14:textFill>
            <w14:solidFill>
              <w14:schemeClr w14:val="tx1"/>
            </w14:solidFill>
          </w14:textFill>
        </w:rPr>
        <w:t>由</w:t>
      </w:r>
      <w:r>
        <w:rPr>
          <w:rFonts w:hint="eastAsia" w:ascii="宋体" w:hAnsi="宋体" w:eastAsia="宋体" w:cs="宋体"/>
          <w:color w:val="000000" w:themeColor="text1"/>
          <w:sz w:val="21"/>
          <w:szCs w:val="21"/>
          <w14:textFill>
            <w14:solidFill>
              <w14:schemeClr w14:val="tx1"/>
            </w14:solidFill>
          </w14:textFill>
        </w:rPr>
        <w:t>学校提供“毕业生就创业工作举措”</w:t>
      </w:r>
    </w:p>
    <w:p w14:paraId="0CCFB3D7">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第三章 就业质量相关分析【调研数据】</w:t>
      </w:r>
    </w:p>
    <w:p w14:paraId="1732E433">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一、就业机会充分度</w:t>
      </w:r>
    </w:p>
    <w:p w14:paraId="166928A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（一）总体就业机会充分度</w:t>
      </w:r>
    </w:p>
    <w:p w14:paraId="5B4899D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（二）各院系/专业就业机会充分度</w:t>
      </w:r>
    </w:p>
    <w:p w14:paraId="0B433995">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二、</w:t>
      </w:r>
      <w:bookmarkStart w:id="5" w:name="_Hlk45788140"/>
      <w:r>
        <w:rPr>
          <w:rFonts w:hint="eastAsia" w:ascii="宋体" w:hAnsi="宋体" w:eastAsia="宋体" w:cs="宋体"/>
          <w:b/>
          <w:color w:val="000000" w:themeColor="text1"/>
          <w:sz w:val="21"/>
          <w:szCs w:val="21"/>
          <w14:textFill>
            <w14:solidFill>
              <w14:schemeClr w14:val="tx1"/>
            </w14:solidFill>
          </w14:textFill>
        </w:rPr>
        <w:t>专业对口度</w:t>
      </w:r>
      <w:bookmarkEnd w:id="5"/>
      <w:r>
        <w:rPr>
          <w:rFonts w:hint="eastAsia" w:ascii="宋体" w:hAnsi="宋体" w:eastAsia="宋体" w:cs="宋体"/>
          <w:b/>
          <w:color w:val="000000" w:themeColor="text1"/>
          <w:sz w:val="21"/>
          <w:szCs w:val="21"/>
          <w14:textFill>
            <w14:solidFill>
              <w14:schemeClr w14:val="tx1"/>
            </w14:solidFill>
          </w14:textFill>
        </w:rPr>
        <w:t>和对口就业率（所学专业与就业单位对口的就业率）</w:t>
      </w:r>
    </w:p>
    <w:p w14:paraId="2D04C67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（一）总体专业对口度</w:t>
      </w:r>
    </w:p>
    <w:p w14:paraId="2B3FC6E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（二）各院系/专业的对口度</w:t>
      </w:r>
    </w:p>
    <w:p w14:paraId="48BEAB2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（三）总体专业对口就业率</w:t>
      </w:r>
    </w:p>
    <w:p w14:paraId="55B85D6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（四）各院系/专业的对口就业率</w:t>
      </w:r>
    </w:p>
    <w:p w14:paraId="1CE3B2F3">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三、工作满意度</w:t>
      </w:r>
    </w:p>
    <w:p w14:paraId="6654E42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（一）总体工作满意度</w:t>
      </w:r>
    </w:p>
    <w:p w14:paraId="61C177C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（二）各院系/专业工作满意度</w:t>
      </w:r>
    </w:p>
    <w:p w14:paraId="561CA4F8">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四、职业期待吻合度</w:t>
      </w:r>
    </w:p>
    <w:p w14:paraId="23F1A73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（一）总体职业期待吻合度</w:t>
      </w:r>
    </w:p>
    <w:p w14:paraId="08A8E31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（二）各院系/专业职业期待吻合度</w:t>
      </w:r>
    </w:p>
    <w:p w14:paraId="521DAC38">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五、工作稳定度</w:t>
      </w:r>
    </w:p>
    <w:p w14:paraId="5764D4A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（一）总体工作稳定度</w:t>
      </w:r>
    </w:p>
    <w:p w14:paraId="523E211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（二）各院系/专业工作稳定度</w:t>
      </w:r>
    </w:p>
    <w:p w14:paraId="3488722E">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六、薪酬水平</w:t>
      </w:r>
    </w:p>
    <w:p w14:paraId="71912E1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（一）总体薪酬水平</w:t>
      </w:r>
    </w:p>
    <w:p w14:paraId="69A2315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（二）各院系/专业薪酬水平分布</w:t>
      </w:r>
    </w:p>
    <w:p w14:paraId="0E4B187E">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第四章 就业发展趋势分析【客观数据】</w:t>
      </w:r>
    </w:p>
    <w:p w14:paraId="71F75D5B">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一、近三年规模与毕业去向落实率变化趋势</w:t>
      </w:r>
    </w:p>
    <w:p w14:paraId="39C5661E">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二、近三年</w:t>
      </w:r>
      <w:bookmarkStart w:id="6" w:name="_Hlk15922164"/>
      <w:r>
        <w:rPr>
          <w:rFonts w:hint="eastAsia" w:ascii="宋体" w:hAnsi="宋体" w:eastAsia="宋体" w:cs="宋体"/>
          <w:b/>
          <w:color w:val="000000" w:themeColor="text1"/>
          <w:sz w:val="21"/>
          <w:szCs w:val="21"/>
          <w14:textFill>
            <w14:solidFill>
              <w14:schemeClr w14:val="tx1"/>
            </w14:solidFill>
          </w14:textFill>
        </w:rPr>
        <w:t>就业地区变化趋势</w:t>
      </w:r>
      <w:bookmarkEnd w:id="6"/>
    </w:p>
    <w:p w14:paraId="64EB62B0">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三、近三年就业行业变化趋势</w:t>
      </w:r>
    </w:p>
    <w:p w14:paraId="3535F951">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四、近三年就业单位变化趋势</w:t>
      </w:r>
    </w:p>
    <w:p w14:paraId="72AA6A2B">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五、近三年升学变化趋势</w:t>
      </w:r>
    </w:p>
    <w:bookmarkEnd w:id="2"/>
    <w:p w14:paraId="0EB7FA58">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第五章 毕业生</w:t>
      </w:r>
      <w:bookmarkStart w:id="7" w:name="_Hlk15406653"/>
      <w:r>
        <w:rPr>
          <w:rFonts w:hint="eastAsia" w:ascii="宋体" w:hAnsi="宋体" w:eastAsia="宋体" w:cs="宋体"/>
          <w:b/>
          <w:color w:val="000000" w:themeColor="text1"/>
          <w:sz w:val="21"/>
          <w:szCs w:val="21"/>
          <w14:textFill>
            <w14:solidFill>
              <w14:schemeClr w14:val="tx1"/>
            </w14:solidFill>
          </w14:textFill>
        </w:rPr>
        <w:t>对学校的评价</w:t>
      </w:r>
      <w:bookmarkEnd w:id="7"/>
      <w:r>
        <w:rPr>
          <w:rFonts w:hint="eastAsia" w:ascii="宋体" w:hAnsi="宋体" w:eastAsia="宋体" w:cs="宋体"/>
          <w:b/>
          <w:color w:val="000000" w:themeColor="text1"/>
          <w:sz w:val="21"/>
          <w:szCs w:val="21"/>
          <w14:textFill>
            <w14:solidFill>
              <w14:schemeClr w14:val="tx1"/>
            </w14:solidFill>
          </w14:textFill>
        </w:rPr>
        <w:t>【调研数据】</w:t>
      </w:r>
    </w:p>
    <w:p w14:paraId="430BCC39">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一、毕业生对人才培养的评价</w:t>
      </w:r>
    </w:p>
    <w:p w14:paraId="36A680C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（一）母校满意度</w:t>
      </w:r>
    </w:p>
    <w:p w14:paraId="2CA6EC2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（二）教育教学评价</w:t>
      </w:r>
    </w:p>
    <w:p w14:paraId="1ABE1478">
      <w:pPr>
        <w:keepNext w:val="0"/>
        <w:keepLines w:val="0"/>
        <w:pageBreakBefore w:val="0"/>
        <w:widowControl w:val="0"/>
        <w:kinsoku/>
        <w:wordWrap/>
        <w:overflowPunct/>
        <w:topLinePunct w:val="0"/>
        <w:autoSpaceDE/>
        <w:autoSpaceDN/>
        <w:bidi w:val="0"/>
        <w:adjustRightInd/>
        <w:snapToGrid/>
        <w:spacing w:line="360" w:lineRule="auto"/>
        <w:ind w:firstLine="991" w:firstLineChars="472"/>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1.所学课程</w:t>
      </w:r>
    </w:p>
    <w:p w14:paraId="09240EF2">
      <w:pPr>
        <w:keepNext w:val="0"/>
        <w:keepLines w:val="0"/>
        <w:pageBreakBefore w:val="0"/>
        <w:widowControl w:val="0"/>
        <w:kinsoku/>
        <w:wordWrap/>
        <w:overflowPunct/>
        <w:topLinePunct w:val="0"/>
        <w:autoSpaceDE/>
        <w:autoSpaceDN/>
        <w:bidi w:val="0"/>
        <w:adjustRightInd/>
        <w:snapToGrid/>
        <w:spacing w:line="360" w:lineRule="auto"/>
        <w:ind w:firstLine="991" w:firstLineChars="472"/>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2.任课教师</w:t>
      </w:r>
    </w:p>
    <w:p w14:paraId="475E1B1A">
      <w:pPr>
        <w:keepNext w:val="0"/>
        <w:keepLines w:val="0"/>
        <w:pageBreakBefore w:val="0"/>
        <w:widowControl w:val="0"/>
        <w:kinsoku/>
        <w:wordWrap/>
        <w:overflowPunct/>
        <w:topLinePunct w:val="0"/>
        <w:autoSpaceDE/>
        <w:autoSpaceDN/>
        <w:bidi w:val="0"/>
        <w:adjustRightInd/>
        <w:snapToGrid/>
        <w:spacing w:line="360" w:lineRule="auto"/>
        <w:ind w:firstLine="991" w:firstLineChars="472"/>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3.母校学风</w:t>
      </w:r>
    </w:p>
    <w:p w14:paraId="00428F56">
      <w:pPr>
        <w:keepNext w:val="0"/>
        <w:keepLines w:val="0"/>
        <w:pageBreakBefore w:val="0"/>
        <w:widowControl w:val="0"/>
        <w:kinsoku/>
        <w:wordWrap/>
        <w:overflowPunct/>
        <w:topLinePunct w:val="0"/>
        <w:autoSpaceDE/>
        <w:autoSpaceDN/>
        <w:bidi w:val="0"/>
        <w:adjustRightInd/>
        <w:snapToGrid/>
        <w:spacing w:line="360" w:lineRule="auto"/>
        <w:ind w:firstLine="991" w:firstLineChars="472"/>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4.课堂教学</w:t>
      </w:r>
    </w:p>
    <w:p w14:paraId="14819662">
      <w:pPr>
        <w:keepNext w:val="0"/>
        <w:keepLines w:val="0"/>
        <w:pageBreakBefore w:val="0"/>
        <w:widowControl w:val="0"/>
        <w:kinsoku/>
        <w:wordWrap/>
        <w:overflowPunct/>
        <w:topLinePunct w:val="0"/>
        <w:autoSpaceDE/>
        <w:autoSpaceDN/>
        <w:bidi w:val="0"/>
        <w:adjustRightInd/>
        <w:snapToGrid/>
        <w:spacing w:line="360" w:lineRule="auto"/>
        <w:ind w:firstLine="991" w:firstLineChars="472"/>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5.实践教学</w:t>
      </w:r>
    </w:p>
    <w:p w14:paraId="4A72F3A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（三）基础能力素质</w:t>
      </w:r>
    </w:p>
    <w:p w14:paraId="36FA7C3C">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二、毕业生对就业创业教育的评价</w:t>
      </w:r>
    </w:p>
    <w:p w14:paraId="427CCDAF">
      <w:pPr>
        <w:keepNext w:val="0"/>
        <w:keepLines w:val="0"/>
        <w:pageBreakBefore w:val="0"/>
        <w:widowControl w:val="0"/>
        <w:kinsoku/>
        <w:wordWrap/>
        <w:overflowPunct/>
        <w:topLinePunct w:val="0"/>
        <w:autoSpaceDE/>
        <w:autoSpaceDN/>
        <w:bidi w:val="0"/>
        <w:adjustRightInd/>
        <w:snapToGrid/>
        <w:spacing w:line="360" w:lineRule="auto"/>
        <w:ind w:left="567" w:leftChars="27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（含职业生涯规划、就业指导、创业基础课程、职业规划大赛培训与指导、创新创业大赛培训与指导）</w:t>
      </w:r>
    </w:p>
    <w:p w14:paraId="48EB7BC7">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三、毕业生对就业创业服务的评价</w:t>
      </w:r>
    </w:p>
    <w:p w14:paraId="0CF86CE5">
      <w:pPr>
        <w:keepNext w:val="0"/>
        <w:keepLines w:val="0"/>
        <w:pageBreakBefore w:val="0"/>
        <w:widowControl w:val="0"/>
        <w:kinsoku/>
        <w:wordWrap/>
        <w:overflowPunct/>
        <w:topLinePunct w:val="0"/>
        <w:autoSpaceDE/>
        <w:autoSpaceDN/>
        <w:bidi w:val="0"/>
        <w:adjustRightInd/>
        <w:snapToGrid/>
        <w:spacing w:line="360" w:lineRule="auto"/>
        <w:ind w:left="567" w:leftChars="27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(含校园招聘会/宣讲会、招聘信息发布、就业帮扶与推荐、就业创业政策宣传与落实、职业生涯咨询与辅导、创业指导与服务、就业手续办理）</w:t>
      </w:r>
    </w:p>
    <w:p w14:paraId="31763A60">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四、就业对招生和人才培养的影响</w:t>
      </w:r>
    </w:p>
    <w:p w14:paraId="1FAA3CA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（一）毕业生对招生工作的建议</w:t>
      </w:r>
    </w:p>
    <w:p w14:paraId="60E5D35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（二）毕业生对人才培养的建议</w:t>
      </w:r>
    </w:p>
    <w:p w14:paraId="6BE8C5E8">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第六章 用人单位评价【调研数据】</w:t>
      </w:r>
    </w:p>
    <w:p w14:paraId="5BFD3C4E">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一、对毕业生的评价</w:t>
      </w:r>
    </w:p>
    <w:p w14:paraId="1CFF734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（一）对毕业生的总体满意度</w:t>
      </w:r>
    </w:p>
    <w:p w14:paraId="0EF51BD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（二）</w:t>
      </w:r>
      <w:bookmarkStart w:id="8" w:name="_Hlk96422187"/>
      <w:r>
        <w:rPr>
          <w:rFonts w:hint="eastAsia" w:ascii="宋体" w:hAnsi="宋体" w:eastAsia="宋体" w:cs="宋体"/>
          <w:color w:val="000000" w:themeColor="text1"/>
          <w:sz w:val="21"/>
          <w:szCs w:val="21"/>
          <w14:textFill>
            <w14:solidFill>
              <w14:schemeClr w14:val="tx1"/>
            </w14:solidFill>
          </w14:textFill>
        </w:rPr>
        <w:t>对毕业生的能力素质评价</w:t>
      </w:r>
      <w:bookmarkEnd w:id="8"/>
    </w:p>
    <w:p w14:paraId="6C39ECC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（三）对毕业生工作岗位胜任情况评价</w:t>
      </w:r>
    </w:p>
    <w:p w14:paraId="053DA128">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二、对学校招聘服务的评价</w:t>
      </w:r>
    </w:p>
    <w:p w14:paraId="285C2F9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（一）对学校招聘服务的满意度</w:t>
      </w:r>
    </w:p>
    <w:p w14:paraId="739B305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（二）对学校招聘服务的建议</w:t>
      </w:r>
    </w:p>
    <w:p w14:paraId="239B3E92">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三、对学校开展校企合作的评价</w:t>
      </w:r>
    </w:p>
    <w:p w14:paraId="15BC3857">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四、对学校教育教学的反馈建议</w:t>
      </w:r>
    </w:p>
    <w:p w14:paraId="70CA1827">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总结与反馈</w:t>
      </w:r>
    </w:p>
    <w:p w14:paraId="140D7300">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一、报告结论</w:t>
      </w:r>
    </w:p>
    <w:p w14:paraId="630190F4">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二、建议反馈</w:t>
      </w:r>
    </w:p>
    <w:p w14:paraId="407F6B78">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562" w:firstLineChars="200"/>
        <w:textAlignment w:val="auto"/>
        <w:rPr>
          <w:rFonts w:hint="eastAsia" w:ascii="宋体" w:hAnsi="宋体"/>
          <w:b/>
          <w:bCs/>
          <w:color w:val="000000" w:themeColor="text1"/>
          <w:sz w:val="28"/>
          <w:szCs w:val="28"/>
          <w:lang w:val="en-US" w:eastAsia="zh-CN"/>
          <w14:textFill>
            <w14:solidFill>
              <w14:schemeClr w14:val="tx1"/>
            </w14:solidFill>
          </w14:textFill>
        </w:rPr>
      </w:pPr>
      <w:r>
        <w:rPr>
          <w:rFonts w:hint="eastAsia" w:ascii="宋体" w:hAnsi="宋体"/>
          <w:b/>
          <w:bCs/>
          <w:color w:val="000000" w:themeColor="text1"/>
          <w:sz w:val="28"/>
          <w:szCs w:val="28"/>
          <w:lang w:val="en-US" w:eastAsia="zh-CN"/>
          <w14:textFill>
            <w14:solidFill>
              <w14:schemeClr w14:val="tx1"/>
            </w14:solidFill>
          </w14:textFill>
        </w:rPr>
        <w:t>七、技术要求</w:t>
      </w:r>
    </w:p>
    <w:p w14:paraId="103B51EC">
      <w:pPr>
        <w:keepNext w:val="0"/>
        <w:keepLines w:val="0"/>
        <w:pageBreakBefore w:val="0"/>
        <w:widowControl w:val="0"/>
        <w:kinsoku/>
        <w:wordWrap/>
        <w:overflowPunct/>
        <w:topLinePunct w:val="0"/>
        <w:autoSpaceDE/>
        <w:autoSpaceDN/>
        <w:bidi w:val="0"/>
        <w:spacing w:line="360" w:lineRule="auto"/>
        <w:ind w:firstLine="560" w:firstLineChars="200"/>
        <w:textAlignment w:val="auto"/>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1.调研要求：为采购人提供后台监控系统账号，以便采购人随时了解答题进展。</w:t>
      </w:r>
    </w:p>
    <w:p w14:paraId="4EC29031">
      <w:pPr>
        <w:keepNext w:val="0"/>
        <w:keepLines w:val="0"/>
        <w:pageBreakBefore w:val="0"/>
        <w:widowControl w:val="0"/>
        <w:kinsoku/>
        <w:wordWrap/>
        <w:overflowPunct/>
        <w:topLinePunct w:val="0"/>
        <w:autoSpaceDE/>
        <w:autoSpaceDN/>
        <w:bidi w:val="0"/>
        <w:spacing w:line="360" w:lineRule="auto"/>
        <w:ind w:firstLine="560" w:firstLineChars="200"/>
        <w:textAlignment w:val="auto"/>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2.保障答题真实性：供应商须针对如何保证回收样本的真实性和有效性进行说明，在调研完成后提供此次调研所有原始数据库，采购人可通过数据库内容抽查毕业生、用人单位人员真实答题情况。</w:t>
      </w:r>
    </w:p>
    <w:p w14:paraId="19229041">
      <w:pPr>
        <w:keepNext w:val="0"/>
        <w:keepLines w:val="0"/>
        <w:pageBreakBefore w:val="0"/>
        <w:widowControl w:val="0"/>
        <w:kinsoku/>
        <w:wordWrap/>
        <w:overflowPunct/>
        <w:topLinePunct w:val="0"/>
        <w:autoSpaceDE/>
        <w:autoSpaceDN/>
        <w:bidi w:val="0"/>
        <w:spacing w:line="360" w:lineRule="auto"/>
        <w:ind w:firstLine="560" w:firstLineChars="200"/>
        <w:textAlignment w:val="auto"/>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3.调研完成后供应商需向采购人提供此次调研所有原始数据库，采购人可通过数据库内容抽查毕业生、用人单位人员真实答题情况。</w:t>
      </w:r>
    </w:p>
    <w:p w14:paraId="5E04C908">
      <w:pPr>
        <w:keepNext w:val="0"/>
        <w:keepLines w:val="0"/>
        <w:pageBreakBefore w:val="0"/>
        <w:widowControl w:val="0"/>
        <w:kinsoku/>
        <w:wordWrap/>
        <w:overflowPunct/>
        <w:topLinePunct w:val="0"/>
        <w:autoSpaceDE/>
        <w:autoSpaceDN/>
        <w:bidi w:val="0"/>
        <w:spacing w:line="360" w:lineRule="auto"/>
        <w:ind w:firstLine="560" w:firstLineChars="200"/>
        <w:textAlignment w:val="auto"/>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4.数据安全性：本项目属于社会调查，为保证数据安全，防止信息泄露，供应商应保障整体项目数据安全性，确保原始数据的保密。</w:t>
      </w:r>
    </w:p>
    <w:p w14:paraId="78A11351">
      <w:pPr>
        <w:keepNext w:val="0"/>
        <w:keepLines w:val="0"/>
        <w:pageBreakBefore w:val="0"/>
        <w:widowControl w:val="0"/>
        <w:kinsoku/>
        <w:wordWrap/>
        <w:overflowPunct/>
        <w:topLinePunct w:val="0"/>
        <w:autoSpaceDE/>
        <w:autoSpaceDN/>
        <w:bidi w:val="0"/>
        <w:spacing w:line="360" w:lineRule="auto"/>
        <w:ind w:firstLine="560" w:firstLineChars="200"/>
        <w:textAlignment w:val="auto"/>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★5.全国数据对比：中标供应商为学校提供当届毕业生就业质量调研的全国数据作为对比参照系，为学校就业工作提供对比参照。（提供证明材料加盖单位公章）</w:t>
      </w:r>
    </w:p>
    <w:p w14:paraId="1A2CC715">
      <w:pPr>
        <w:keepNext w:val="0"/>
        <w:keepLines w:val="0"/>
        <w:pageBreakBefore w:val="0"/>
        <w:widowControl w:val="0"/>
        <w:kinsoku/>
        <w:wordWrap/>
        <w:overflowPunct/>
        <w:topLinePunct w:val="0"/>
        <w:autoSpaceDE/>
        <w:autoSpaceDN/>
        <w:bidi w:val="0"/>
        <w:spacing w:line="360" w:lineRule="auto"/>
        <w:ind w:firstLine="560" w:firstLineChars="200"/>
        <w:textAlignment w:val="auto"/>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★6.产业就业数据库分析对比：中标供应商通过全国产业数据库对比，为学校提供区域重点产业就业情况分析。（提供证明材料加盖单位公章）</w:t>
      </w:r>
    </w:p>
    <w:p w14:paraId="566EFB57">
      <w:pPr>
        <w:keepNext w:val="0"/>
        <w:keepLines w:val="0"/>
        <w:pageBreakBefore w:val="0"/>
        <w:widowControl w:val="0"/>
        <w:kinsoku/>
        <w:wordWrap/>
        <w:overflowPunct/>
        <w:topLinePunct w:val="0"/>
        <w:autoSpaceDE/>
        <w:autoSpaceDN/>
        <w:bidi w:val="0"/>
        <w:spacing w:line="360" w:lineRule="auto"/>
        <w:ind w:firstLine="560" w:firstLineChars="200"/>
        <w:textAlignment w:val="auto"/>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 xml:space="preserve">7.技术支持：为保证项目的高质量实施，本项目要求厂家提供数据采集、数据评估、报告撰写、过程监测等平台供采购人使用，平台可实现的功能如下：（中标供应商需在合同签订前现场演示） </w:t>
      </w:r>
    </w:p>
    <w:p w14:paraId="7AAD2E9D">
      <w:pPr>
        <w:keepNext w:val="0"/>
        <w:keepLines w:val="0"/>
        <w:pageBreakBefore w:val="0"/>
        <w:widowControl w:val="0"/>
        <w:kinsoku/>
        <w:wordWrap/>
        <w:overflowPunct/>
        <w:topLinePunct w:val="0"/>
        <w:autoSpaceDE/>
        <w:autoSpaceDN/>
        <w:bidi w:val="0"/>
        <w:spacing w:line="360" w:lineRule="auto"/>
        <w:ind w:firstLine="560" w:firstLineChars="200"/>
        <w:textAlignment w:val="auto"/>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①数据采集平台用于采集毕业生答卷和材料采集，要求实现以下功能：三级权限管理、问卷编辑、问卷回收率监测、答题/未答题名单导出、材料采集任务发布、材料采集附件上传、采集材料审核、采集材料评价。</w:t>
      </w:r>
    </w:p>
    <w:p w14:paraId="60E24075">
      <w:pPr>
        <w:keepNext w:val="0"/>
        <w:keepLines w:val="0"/>
        <w:pageBreakBefore w:val="0"/>
        <w:widowControl w:val="0"/>
        <w:kinsoku/>
        <w:wordWrap/>
        <w:overflowPunct/>
        <w:topLinePunct w:val="0"/>
        <w:autoSpaceDE/>
        <w:autoSpaceDN/>
        <w:bidi w:val="0"/>
        <w:spacing w:line="360" w:lineRule="auto"/>
        <w:ind w:firstLine="560" w:firstLineChars="200"/>
        <w:textAlignment w:val="auto"/>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②数据分析平台用于进行数据的分析，要求实现以下功能：指标设置、数据源选择、算法选择、交叉分析、词云分析、模板管理。</w:t>
      </w:r>
    </w:p>
    <w:p w14:paraId="62CFB96B">
      <w:pPr>
        <w:keepNext w:val="0"/>
        <w:keepLines w:val="0"/>
        <w:pageBreakBefore w:val="0"/>
        <w:widowControl w:val="0"/>
        <w:kinsoku/>
        <w:wordWrap/>
        <w:overflowPunct/>
        <w:topLinePunct w:val="0"/>
        <w:autoSpaceDE/>
        <w:autoSpaceDN/>
        <w:bidi w:val="0"/>
        <w:spacing w:line="360" w:lineRule="auto"/>
        <w:ind w:firstLine="560" w:firstLineChars="200"/>
        <w:textAlignment w:val="auto"/>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 xml:space="preserve"> ③报告撰写平台用于报告撰写，样式配置，模板复用，要求实现以下功能：基础数据配置、文字模板管理、素材管理、报告的创建、报告管理、编辑报告、预览报告、下载报告、模板管理及复用等功能，可将设置好的模板进行数据匹配，自动生成相应的报告。</w:t>
      </w:r>
    </w:p>
    <w:p w14:paraId="284F9725">
      <w:pPr>
        <w:keepNext w:val="0"/>
        <w:keepLines w:val="0"/>
        <w:pageBreakBefore w:val="0"/>
        <w:widowControl w:val="0"/>
        <w:kinsoku/>
        <w:wordWrap/>
        <w:overflowPunct/>
        <w:topLinePunct w:val="0"/>
        <w:autoSpaceDE/>
        <w:autoSpaceDN/>
        <w:bidi w:val="0"/>
        <w:spacing w:line="360" w:lineRule="auto"/>
        <w:ind w:firstLine="560" w:firstLineChars="200"/>
        <w:textAlignment w:val="auto"/>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④具备与本项目执行相关的计算机软件著作权登记证书不少于5项。</w:t>
      </w:r>
    </w:p>
    <w:p w14:paraId="11BB1378">
      <w:pPr>
        <w:keepNext w:val="0"/>
        <w:keepLines w:val="0"/>
        <w:pageBreakBefore w:val="0"/>
        <w:widowControl w:val="0"/>
        <w:kinsoku/>
        <w:wordWrap/>
        <w:overflowPunct/>
        <w:topLinePunct w:val="0"/>
        <w:autoSpaceDE/>
        <w:autoSpaceDN/>
        <w:bidi w:val="0"/>
        <w:spacing w:line="360" w:lineRule="auto"/>
        <w:ind w:firstLine="562" w:firstLineChars="200"/>
        <w:textAlignment w:val="auto"/>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cs="宋体"/>
          <w:b/>
          <w:bCs/>
          <w:color w:val="000000" w:themeColor="text1"/>
          <w:sz w:val="28"/>
          <w:szCs w:val="28"/>
          <w:lang w:val="en-US" w:eastAsia="zh-CN"/>
          <w14:textFill>
            <w14:solidFill>
              <w14:schemeClr w14:val="tx1"/>
            </w14:solidFill>
          </w14:textFill>
        </w:rPr>
        <w:t>八</w:t>
      </w:r>
      <w:r>
        <w:rPr>
          <w:rFonts w:hint="eastAsia" w:ascii="宋体" w:hAnsi="宋体" w:eastAsia="宋体" w:cs="宋体"/>
          <w:b/>
          <w:bCs/>
          <w:color w:val="000000" w:themeColor="text1"/>
          <w:sz w:val="28"/>
          <w:szCs w:val="28"/>
          <w:lang w:val="en-US" w:eastAsia="zh-CN"/>
          <w14:textFill>
            <w14:solidFill>
              <w14:schemeClr w14:val="tx1"/>
            </w14:solidFill>
          </w14:textFill>
        </w:rPr>
        <w:t>、</w:t>
      </w:r>
      <w:r>
        <w:rPr>
          <w:rFonts w:hint="eastAsia" w:ascii="宋体" w:hAnsi="宋体" w:eastAsia="宋体" w:cs="宋体"/>
          <w:b/>
          <w:bCs/>
          <w:color w:val="000000" w:themeColor="text1"/>
          <w:sz w:val="28"/>
          <w:szCs w:val="28"/>
          <w14:textFill>
            <w14:solidFill>
              <w14:schemeClr w14:val="tx1"/>
            </w14:solidFill>
          </w14:textFill>
        </w:rPr>
        <w:t>服务要求</w:t>
      </w:r>
    </w:p>
    <w:p w14:paraId="53633805">
      <w:pPr>
        <w:keepNext w:val="0"/>
        <w:keepLines w:val="0"/>
        <w:pageBreakBefore w:val="0"/>
        <w:widowControl w:val="0"/>
        <w:kinsoku/>
        <w:wordWrap/>
        <w:overflowPunct/>
        <w:topLinePunct w:val="0"/>
        <w:autoSpaceDE/>
        <w:autoSpaceDN/>
        <w:bidi w:val="0"/>
        <w:spacing w:line="360" w:lineRule="auto"/>
        <w:ind w:firstLine="560" w:firstLineChars="200"/>
        <w:textAlignment w:val="auto"/>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1.供应商是技术支持方。供应商应主动做好项目咨询服务，应指定至少一名项目责任人与采购人定向沟通联系，沟通事项包括但不限于：在项目前期与采购人负责人充分沟通并记录采购人对项目的具体需求；认真核查采购人提交的毕业生信息与用人单位信息，如发现问题则及时要求采购人更正；定期监控数据回收进展。</w:t>
      </w:r>
    </w:p>
    <w:p w14:paraId="2068F399">
      <w:pPr>
        <w:keepNext w:val="0"/>
        <w:keepLines w:val="0"/>
        <w:pageBreakBefore w:val="0"/>
        <w:widowControl w:val="0"/>
        <w:kinsoku/>
        <w:wordWrap/>
        <w:overflowPunct/>
        <w:topLinePunct w:val="0"/>
        <w:autoSpaceDE/>
        <w:autoSpaceDN/>
        <w:bidi w:val="0"/>
        <w:spacing w:line="360" w:lineRule="auto"/>
        <w:ind w:firstLine="560" w:firstLineChars="200"/>
        <w:textAlignment w:val="auto"/>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2.供应商将负责问卷的总体设计，调查数据收集的技术支持，数据清理，研究分析和撰写项目报告。</w:t>
      </w:r>
    </w:p>
    <w:p w14:paraId="7555EC53">
      <w:pPr>
        <w:keepNext w:val="0"/>
        <w:keepLines w:val="0"/>
        <w:pageBreakBefore w:val="0"/>
        <w:widowControl w:val="0"/>
        <w:kinsoku/>
        <w:wordWrap/>
        <w:overflowPunct/>
        <w:topLinePunct w:val="0"/>
        <w:autoSpaceDE/>
        <w:autoSpaceDN/>
        <w:bidi w:val="0"/>
        <w:spacing w:line="360" w:lineRule="auto"/>
        <w:ind w:firstLine="560" w:firstLineChars="200"/>
        <w:textAlignment w:val="auto"/>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3.供应商应提供原始调查数据库，采购人拥有其跟踪调查整理后的数据库使用权，数据库产权归供应商所有。未经采购人允许，供应商不得向任何第三方提供或公布由采购人提供的毕业生、用人单位人员信息及联系方式或涉及采购人名义的数据指标与分析报告；供应商须对此项内容进行单独的书面承诺。</w:t>
      </w:r>
    </w:p>
    <w:p w14:paraId="7C5831BF">
      <w:pPr>
        <w:keepNext w:val="0"/>
        <w:keepLines w:val="0"/>
        <w:pageBreakBefore w:val="0"/>
        <w:widowControl w:val="0"/>
        <w:kinsoku/>
        <w:wordWrap/>
        <w:overflowPunct/>
        <w:topLinePunct w:val="0"/>
        <w:autoSpaceDE/>
        <w:autoSpaceDN/>
        <w:bidi w:val="0"/>
        <w:spacing w:line="360" w:lineRule="auto"/>
        <w:ind w:firstLine="560" w:firstLineChars="200"/>
        <w:textAlignment w:val="auto"/>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4.供应商应提供完整清晰的进度控制计划和售后服务方案，提供调研后台查询系统，主要功能为可在调研过程中实时查看各院系、各专业毕业生及用人单位答题最新进展情况，做到实时监测，查看回收进度及导出数据报表，用于把控调研进度以保证项目进度时间。</w:t>
      </w:r>
    </w:p>
    <w:p w14:paraId="5E79677E">
      <w:pPr>
        <w:keepNext w:val="0"/>
        <w:keepLines w:val="0"/>
        <w:pageBreakBefore w:val="0"/>
        <w:widowControl w:val="0"/>
        <w:kinsoku/>
        <w:wordWrap/>
        <w:overflowPunct/>
        <w:topLinePunct w:val="0"/>
        <w:autoSpaceDE/>
        <w:autoSpaceDN/>
        <w:bidi w:val="0"/>
        <w:spacing w:line="360" w:lineRule="auto"/>
        <w:ind w:firstLine="560" w:firstLineChars="200"/>
        <w:textAlignment w:val="auto"/>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5.数据报告出来后，采购人遇到指标不理解的地方，成交供应商应负责做出说明。</w:t>
      </w:r>
    </w:p>
    <w:p w14:paraId="20B3682A">
      <w:pPr>
        <w:keepNext w:val="0"/>
        <w:keepLines w:val="0"/>
        <w:pageBreakBefore w:val="0"/>
        <w:widowControl w:val="0"/>
        <w:kinsoku/>
        <w:wordWrap/>
        <w:overflowPunct/>
        <w:topLinePunct w:val="0"/>
        <w:autoSpaceDE/>
        <w:autoSpaceDN/>
        <w:bidi w:val="0"/>
        <w:spacing w:line="360" w:lineRule="auto"/>
        <w:ind w:firstLine="560" w:firstLineChars="200"/>
        <w:textAlignment w:val="auto"/>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★6.报告成果交付后，成交供应商为采购人提供现场报告解读服务，具体安排依据双方工作情况协商确定；供应商须对此项内容进行单独的书面承诺。</w:t>
      </w:r>
    </w:p>
    <w:p w14:paraId="72843765">
      <w:pPr>
        <w:keepNext w:val="0"/>
        <w:keepLines w:val="0"/>
        <w:pageBreakBefore w:val="0"/>
        <w:widowControl w:val="0"/>
        <w:kinsoku/>
        <w:wordWrap/>
        <w:overflowPunct/>
        <w:topLinePunct w:val="0"/>
        <w:autoSpaceDE/>
        <w:autoSpaceDN/>
        <w:bidi w:val="0"/>
        <w:spacing w:line="360" w:lineRule="auto"/>
        <w:ind w:firstLine="560" w:firstLineChars="200"/>
        <w:textAlignment w:val="auto"/>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7.供应商的所供本项目不得侵犯第三方的专利权和设计权等；如果任何第三方提出侵权指控或赔偿要求，供应商必须与第三方交涉，并承担发生和可能发生的一切损失、费用和法律责任。</w:t>
      </w:r>
    </w:p>
    <w:p w14:paraId="1A71E54F">
      <w:pPr>
        <w:keepNext w:val="0"/>
        <w:keepLines w:val="0"/>
        <w:pageBreakBefore w:val="0"/>
        <w:widowControl w:val="0"/>
        <w:kinsoku/>
        <w:wordWrap/>
        <w:overflowPunct/>
        <w:topLinePunct w:val="0"/>
        <w:autoSpaceDE/>
        <w:autoSpaceDN/>
        <w:bidi w:val="0"/>
        <w:spacing w:line="360" w:lineRule="auto"/>
        <w:ind w:firstLine="560" w:firstLineChars="200"/>
        <w:textAlignment w:val="auto"/>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★8.供应商需要提供全程质量监测平台，学校可以用平台实现对生源质量监测、毕业生就业质量监测等内容，以及各二级院系、专业维度报告一键生成，供应商中标后需入校演示系统，对此项内容做出书面承诺。</w:t>
      </w:r>
    </w:p>
    <w:p w14:paraId="7061F8A6">
      <w:pPr>
        <w:pStyle w:val="24"/>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2" w:firstLineChars="200"/>
        <w:textAlignment w:val="auto"/>
        <w:outlineLvl w:val="0"/>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cs="宋体"/>
          <w:b/>
          <w:bCs/>
          <w:color w:val="000000" w:themeColor="text1"/>
          <w:sz w:val="28"/>
          <w:szCs w:val="28"/>
          <w:lang w:val="en-US" w:eastAsia="zh-CN"/>
          <w14:textFill>
            <w14:solidFill>
              <w14:schemeClr w14:val="tx1"/>
            </w14:solidFill>
          </w14:textFill>
        </w:rPr>
        <w:t>九</w:t>
      </w:r>
      <w:r>
        <w:rPr>
          <w:rFonts w:hint="eastAsia" w:ascii="宋体" w:hAnsi="宋体" w:eastAsia="宋体" w:cs="宋体"/>
          <w:b/>
          <w:bCs/>
          <w:color w:val="000000" w:themeColor="text1"/>
          <w:sz w:val="28"/>
          <w:szCs w:val="28"/>
          <w:lang w:val="en-US" w:eastAsia="zh-CN"/>
          <w14:textFill>
            <w14:solidFill>
              <w14:schemeClr w14:val="tx1"/>
            </w14:solidFill>
          </w14:textFill>
        </w:rPr>
        <w:t>、</w:t>
      </w:r>
      <w:r>
        <w:rPr>
          <w:rFonts w:hint="eastAsia" w:ascii="宋体" w:hAnsi="宋体" w:eastAsia="宋体" w:cs="宋体"/>
          <w:b/>
          <w:bCs/>
          <w:color w:val="000000" w:themeColor="text1"/>
          <w:sz w:val="28"/>
          <w:szCs w:val="28"/>
          <w14:textFill>
            <w14:solidFill>
              <w14:schemeClr w14:val="tx1"/>
            </w14:solidFill>
          </w14:textFill>
        </w:rPr>
        <w:t>商务服务要求</w:t>
      </w:r>
    </w:p>
    <w:p w14:paraId="45508D26">
      <w:pPr>
        <w:keepNext w:val="0"/>
        <w:keepLines w:val="0"/>
        <w:pageBreakBefore w:val="0"/>
        <w:widowControl w:val="0"/>
        <w:kinsoku/>
        <w:wordWrap/>
        <w:overflowPunct/>
        <w:topLinePunct w:val="0"/>
        <w:autoSpaceDE/>
        <w:autoSpaceDN/>
        <w:bidi w:val="0"/>
        <w:spacing w:line="360" w:lineRule="auto"/>
        <w:ind w:firstLine="560" w:firstLineChars="200"/>
        <w:textAlignment w:val="auto"/>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1.交货期限：合同签订后，供应商在每年的12月31日前完成当年的全部服务内容。</w:t>
      </w:r>
    </w:p>
    <w:p w14:paraId="3E43C757">
      <w:pPr>
        <w:keepNext w:val="0"/>
        <w:keepLines w:val="0"/>
        <w:pageBreakBefore w:val="0"/>
        <w:widowControl w:val="0"/>
        <w:kinsoku/>
        <w:wordWrap/>
        <w:overflowPunct/>
        <w:topLinePunct w:val="0"/>
        <w:autoSpaceDE/>
        <w:autoSpaceDN/>
        <w:bidi w:val="0"/>
        <w:spacing w:line="360" w:lineRule="auto"/>
        <w:ind w:firstLine="560" w:firstLineChars="200"/>
        <w:textAlignment w:val="auto"/>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2.交货地点：辽宁建筑职业学院（或者采购人指定地点）。</w:t>
      </w:r>
    </w:p>
    <w:p w14:paraId="49433AF5">
      <w:pPr>
        <w:keepNext w:val="0"/>
        <w:keepLines w:val="0"/>
        <w:pageBreakBefore w:val="0"/>
        <w:widowControl w:val="0"/>
        <w:kinsoku/>
        <w:wordWrap/>
        <w:overflowPunct/>
        <w:topLinePunct w:val="0"/>
        <w:autoSpaceDE/>
        <w:autoSpaceDN/>
        <w:bidi w:val="0"/>
        <w:spacing w:line="360" w:lineRule="auto"/>
        <w:ind w:firstLine="560" w:firstLineChars="200"/>
        <w:textAlignment w:val="auto"/>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3.验收要求：供应商在规定时间内提出验收申请，采购人根据交付物，确认供应商是否达到了验收要求，做出验收记录，双方签字确认。</w:t>
      </w:r>
    </w:p>
    <w:p w14:paraId="3339A77D">
      <w:pPr>
        <w:keepNext w:val="0"/>
        <w:keepLines w:val="0"/>
        <w:pageBreakBefore w:val="0"/>
        <w:widowControl w:val="0"/>
        <w:kinsoku/>
        <w:wordWrap/>
        <w:overflowPunct/>
        <w:topLinePunct w:val="0"/>
        <w:autoSpaceDE/>
        <w:autoSpaceDN/>
        <w:bidi w:val="0"/>
        <w:spacing w:line="360" w:lineRule="auto"/>
        <w:ind w:firstLine="560" w:firstLineChars="200"/>
        <w:textAlignment w:val="auto"/>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4.报价要求：本次报价须为人民币报价，包含：平台服务费、技术服务费、人工咨询费、差旅费、保险费、税费等提供服务所需的设备或货物购买（制造）费等完成服务项目全部要求的所有费用。因投标供应商自身原因造成漏报、少报皆由其自行承担责任，采购人不再补偿。项目在实施过程中所产生的一切费用一律由中标人承担。</w:t>
      </w:r>
    </w:p>
    <w:p w14:paraId="45DB421F">
      <w:pPr>
        <w:keepNext w:val="0"/>
        <w:keepLines w:val="0"/>
        <w:pageBreakBefore w:val="0"/>
        <w:widowControl w:val="0"/>
        <w:kinsoku/>
        <w:wordWrap/>
        <w:overflowPunct/>
        <w:topLinePunct w:val="0"/>
        <w:autoSpaceDE/>
        <w:autoSpaceDN/>
        <w:bidi w:val="0"/>
        <w:spacing w:line="360" w:lineRule="auto"/>
        <w:ind w:firstLine="560" w:firstLineChars="200"/>
        <w:textAlignment w:val="auto"/>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★5.业绩经验要求：供应商2022年以来与高校合作类似项目不少于5个。</w:t>
      </w:r>
    </w:p>
    <w:p w14:paraId="794EB393">
      <w:pPr>
        <w:keepNext w:val="0"/>
        <w:keepLines w:val="0"/>
        <w:pageBreakBefore w:val="0"/>
        <w:widowControl w:val="0"/>
        <w:kinsoku/>
        <w:wordWrap/>
        <w:overflowPunct/>
        <w:topLinePunct w:val="0"/>
        <w:autoSpaceDE/>
        <w:autoSpaceDN/>
        <w:bidi w:val="0"/>
        <w:spacing w:line="360" w:lineRule="auto"/>
        <w:ind w:firstLine="560" w:firstLineChars="200"/>
        <w:textAlignment w:val="auto"/>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6.售后服务要求</w:t>
      </w:r>
    </w:p>
    <w:p w14:paraId="5B4C0A1C">
      <w:pPr>
        <w:keepNext w:val="0"/>
        <w:keepLines w:val="0"/>
        <w:pageBreakBefore w:val="0"/>
        <w:widowControl w:val="0"/>
        <w:kinsoku/>
        <w:wordWrap/>
        <w:overflowPunct/>
        <w:topLinePunct w:val="0"/>
        <w:autoSpaceDE/>
        <w:autoSpaceDN/>
        <w:bidi w:val="0"/>
        <w:spacing w:line="360" w:lineRule="auto"/>
        <w:ind w:firstLine="560" w:firstLineChars="200"/>
        <w:textAlignment w:val="auto"/>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①调研结束后，供应商须将调查原始数据返还给校方，供校方检验；供应商须对数据的真实性和保密性负责。</w:t>
      </w:r>
    </w:p>
    <w:p w14:paraId="0F2CA9D1">
      <w:pPr>
        <w:keepNext w:val="0"/>
        <w:keepLines w:val="0"/>
        <w:pageBreakBefore w:val="0"/>
        <w:widowControl w:val="0"/>
        <w:kinsoku/>
        <w:wordWrap/>
        <w:overflowPunct/>
        <w:topLinePunct w:val="0"/>
        <w:autoSpaceDE/>
        <w:autoSpaceDN/>
        <w:bidi w:val="0"/>
        <w:spacing w:line="360" w:lineRule="auto"/>
        <w:ind w:firstLine="560" w:firstLineChars="200"/>
        <w:textAlignment w:val="auto"/>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②指定专人负责与校方日常沟通联系，主动为校方做好项目咨询服务；</w:t>
      </w:r>
    </w:p>
    <w:p w14:paraId="3F7B8201">
      <w:pPr>
        <w:keepNext w:val="0"/>
        <w:keepLines w:val="0"/>
        <w:pageBreakBefore w:val="0"/>
        <w:widowControl w:val="0"/>
        <w:kinsoku/>
        <w:wordWrap/>
        <w:overflowPunct/>
        <w:topLinePunct w:val="0"/>
        <w:autoSpaceDE/>
        <w:autoSpaceDN/>
        <w:bidi w:val="0"/>
        <w:spacing w:line="360" w:lineRule="auto"/>
        <w:ind w:firstLine="560" w:firstLineChars="200"/>
        <w:textAlignment w:val="auto"/>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③项目合作期间及约定的质保期内，学校提出项目相关的问题，供应商一般应在工作日3小时内作出响应，24小时内给出处理意见。</w:t>
      </w:r>
    </w:p>
    <w:p w14:paraId="6229C88D">
      <w:pPr>
        <w:keepNext w:val="0"/>
        <w:keepLines w:val="0"/>
        <w:pageBreakBefore w:val="0"/>
        <w:widowControl w:val="0"/>
        <w:kinsoku/>
        <w:wordWrap/>
        <w:overflowPunct/>
        <w:topLinePunct w:val="0"/>
        <w:autoSpaceDE/>
        <w:autoSpaceDN/>
        <w:bidi w:val="0"/>
        <w:spacing w:line="360" w:lineRule="auto"/>
        <w:ind w:firstLine="560" w:firstLineChars="200"/>
        <w:textAlignment w:val="auto"/>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④保密要求：校方拥有调查原始数据的数据库使用权，未经校方许，不得向任何第三方提供或公布由校方提供的学生联系方式或涉及校方名义的数据指标与分析报告；调研结束后在三个工作日内将调查原始数据返还给校方，可供校方检验。供应商对数据的真实性和保密性负责。</w:t>
      </w:r>
    </w:p>
    <w:p w14:paraId="318FE241">
      <w:pPr>
        <w:spacing w:line="360" w:lineRule="auto"/>
        <w:ind w:firstLine="480" w:firstLineChars="200"/>
        <w:rPr>
          <w:rFonts w:hint="eastAsia" w:ascii="宋体" w:hAnsi="宋体" w:eastAsia="宋体" w:cs="宋体"/>
          <w:color w:val="000000" w:themeColor="text1"/>
          <w:kern w:val="0"/>
          <w:sz w:val="24"/>
          <w:lang w:val="en-US" w:eastAsia="zh-CN"/>
          <w14:textFill>
            <w14:solidFill>
              <w14:schemeClr w14:val="tx1"/>
            </w14:solidFill>
          </w14:textFill>
        </w:rPr>
      </w:pPr>
    </w:p>
    <w:p w14:paraId="024C941B">
      <w:pPr>
        <w:pStyle w:val="2"/>
        <w:rPr>
          <w:rFonts w:hint="eastAsia" w:ascii="宋体" w:hAnsi="宋体" w:eastAsia="宋体" w:cs="宋体"/>
          <w:color w:val="000000" w:themeColor="text1"/>
          <w:kern w:val="0"/>
          <w:sz w:val="24"/>
          <w:lang w:val="en-US" w:eastAsia="zh-CN"/>
          <w14:textFill>
            <w14:solidFill>
              <w14:schemeClr w14:val="tx1"/>
            </w14:solidFill>
          </w14:textFill>
        </w:rPr>
      </w:pPr>
    </w:p>
    <w:p w14:paraId="18DC1F64">
      <w:pPr>
        <w:pStyle w:val="2"/>
        <w:rPr>
          <w:rFonts w:hint="eastAsia" w:ascii="宋体" w:hAnsi="宋体" w:eastAsia="宋体" w:cs="宋体"/>
          <w:color w:val="000000" w:themeColor="text1"/>
          <w:kern w:val="0"/>
          <w:sz w:val="24"/>
          <w:lang w:val="en-US" w:eastAsia="zh-CN"/>
          <w14:textFill>
            <w14:solidFill>
              <w14:schemeClr w14:val="tx1"/>
            </w14:solidFill>
          </w14:textFill>
        </w:rPr>
      </w:pPr>
    </w:p>
    <w:p w14:paraId="2D8B9693">
      <w:pPr>
        <w:pStyle w:val="2"/>
        <w:rPr>
          <w:rFonts w:hint="eastAsia" w:ascii="宋体" w:hAnsi="宋体" w:eastAsia="宋体" w:cs="宋体"/>
          <w:color w:val="000000" w:themeColor="text1"/>
          <w:kern w:val="0"/>
          <w:sz w:val="24"/>
          <w:lang w:val="en-US" w:eastAsia="zh-CN"/>
          <w14:textFill>
            <w14:solidFill>
              <w14:schemeClr w14:val="tx1"/>
            </w14:solidFill>
          </w14:textFill>
        </w:rPr>
      </w:pPr>
    </w:p>
    <w:p w14:paraId="09618198">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cs="宋体"/>
          <w:b w:val="0"/>
          <w:bCs/>
          <w:color w:val="000000" w:themeColor="text1"/>
          <w:kern w:val="0"/>
          <w:sz w:val="28"/>
          <w:szCs w:val="28"/>
          <w:lang w:val="en-US" w:eastAsia="zh-CN"/>
          <w14:textFill>
            <w14:solidFill>
              <w14:schemeClr w14:val="tx1"/>
            </w14:solidFill>
          </w14:textFill>
        </w:rPr>
      </w:pPr>
      <w:bookmarkStart w:id="9" w:name="_Toc510014968"/>
      <w:r>
        <w:rPr>
          <w:rFonts w:hint="eastAsia" w:ascii="宋体" w:hAnsi="宋体" w:cs="宋体"/>
          <w:b w:val="0"/>
          <w:bCs/>
          <w:color w:val="000000" w:themeColor="text1"/>
          <w:kern w:val="0"/>
          <w:sz w:val="28"/>
          <w:szCs w:val="28"/>
          <w:lang w:val="en-US" w:eastAsia="zh-CN"/>
          <w14:textFill>
            <w14:solidFill>
              <w14:schemeClr w14:val="tx1"/>
            </w14:solidFill>
          </w14:textFill>
        </w:rPr>
        <w:t xml:space="preserve">                            大学生就业服务中心</w:t>
      </w:r>
    </w:p>
    <w:p w14:paraId="0417ECF1">
      <w:pPr>
        <w:keepNext w:val="0"/>
        <w:keepLines w:val="0"/>
        <w:pageBreakBefore w:val="0"/>
        <w:widowControl w:val="0"/>
        <w:kinsoku/>
        <w:wordWrap/>
        <w:overflowPunct/>
        <w:topLinePunct w:val="0"/>
        <w:bidi w:val="0"/>
        <w:snapToGrid/>
        <w:spacing w:line="360" w:lineRule="auto"/>
        <w:ind w:firstLine="5880" w:firstLineChars="2100"/>
        <w:textAlignment w:val="auto"/>
        <w:rPr>
          <w:rFonts w:hint="eastAsia" w:ascii="宋体" w:hAnsi="宋体" w:eastAsia="宋体" w:cs="宋体"/>
          <w:b w:val="0"/>
          <w:bCs/>
          <w:color w:val="000000" w:themeColor="text1"/>
          <w:kern w:val="2"/>
          <w:sz w:val="28"/>
          <w:szCs w:val="28"/>
          <w:lang w:val="en-US" w:eastAsia="zh-CN" w:bidi="ar-SA"/>
          <w14:textFill>
            <w14:solidFill>
              <w14:schemeClr w14:val="tx1"/>
            </w14:solidFill>
          </w14:textFill>
        </w:rPr>
      </w:pPr>
      <w:r>
        <w:rPr>
          <w:rFonts w:hint="eastAsia" w:ascii="宋体" w:hAnsi="宋体" w:cs="宋体"/>
          <w:b w:val="0"/>
          <w:bCs/>
          <w:color w:val="000000" w:themeColor="text1"/>
          <w:kern w:val="0"/>
          <w:sz w:val="28"/>
          <w:szCs w:val="28"/>
          <w14:textFill>
            <w14:solidFill>
              <w14:schemeClr w14:val="tx1"/>
            </w14:solidFill>
          </w14:textFill>
        </w:rPr>
        <w:t>202</w:t>
      </w:r>
      <w:r>
        <w:rPr>
          <w:rFonts w:hint="eastAsia" w:ascii="宋体" w:hAnsi="宋体" w:cs="宋体"/>
          <w:b w:val="0"/>
          <w:bCs/>
          <w:color w:val="000000" w:themeColor="text1"/>
          <w:kern w:val="0"/>
          <w:sz w:val="28"/>
          <w:szCs w:val="28"/>
          <w:lang w:val="en-US" w:eastAsia="zh-CN"/>
          <w14:textFill>
            <w14:solidFill>
              <w14:schemeClr w14:val="tx1"/>
            </w14:solidFill>
          </w14:textFill>
        </w:rPr>
        <w:t>5</w:t>
      </w:r>
      <w:r>
        <w:rPr>
          <w:rFonts w:hint="eastAsia" w:ascii="宋体" w:hAnsi="宋体" w:cs="宋体"/>
          <w:b w:val="0"/>
          <w:bCs/>
          <w:color w:val="000000" w:themeColor="text1"/>
          <w:kern w:val="0"/>
          <w:sz w:val="28"/>
          <w:szCs w:val="28"/>
          <w14:textFill>
            <w14:solidFill>
              <w14:schemeClr w14:val="tx1"/>
            </w14:solidFill>
          </w14:textFill>
        </w:rPr>
        <w:t>年</w:t>
      </w:r>
      <w:r>
        <w:rPr>
          <w:rFonts w:hint="eastAsia" w:ascii="宋体" w:hAnsi="宋体" w:cs="宋体"/>
          <w:b w:val="0"/>
          <w:bCs/>
          <w:color w:val="000000" w:themeColor="text1"/>
          <w:kern w:val="0"/>
          <w:sz w:val="28"/>
          <w:szCs w:val="28"/>
          <w:lang w:val="en-US" w:eastAsia="zh-CN"/>
          <w14:textFill>
            <w14:solidFill>
              <w14:schemeClr w14:val="tx1"/>
            </w14:solidFill>
          </w14:textFill>
        </w:rPr>
        <w:t>6</w:t>
      </w:r>
      <w:r>
        <w:rPr>
          <w:rFonts w:hint="eastAsia" w:ascii="宋体" w:hAnsi="宋体" w:cs="宋体"/>
          <w:b w:val="0"/>
          <w:bCs/>
          <w:color w:val="000000" w:themeColor="text1"/>
          <w:kern w:val="0"/>
          <w:sz w:val="28"/>
          <w:szCs w:val="28"/>
          <w14:textFill>
            <w14:solidFill>
              <w14:schemeClr w14:val="tx1"/>
            </w14:solidFill>
          </w14:textFill>
        </w:rPr>
        <w:t>月</w:t>
      </w:r>
      <w:r>
        <w:rPr>
          <w:rFonts w:hint="eastAsia" w:ascii="宋体" w:hAnsi="宋体" w:cs="宋体"/>
          <w:b w:val="0"/>
          <w:bCs/>
          <w:color w:val="000000" w:themeColor="text1"/>
          <w:kern w:val="0"/>
          <w:sz w:val="28"/>
          <w:szCs w:val="28"/>
          <w:lang w:val="en-US" w:eastAsia="zh-CN"/>
          <w14:textFill>
            <w14:solidFill>
              <w14:schemeClr w14:val="tx1"/>
            </w14:solidFill>
          </w14:textFill>
        </w:rPr>
        <w:t>10日</w:t>
      </w:r>
      <w:r>
        <w:rPr>
          <w:rFonts w:hint="eastAsia" w:ascii="宋体" w:hAnsi="宋体" w:cs="宋体"/>
          <w:b w:val="0"/>
          <w:bCs/>
          <w:color w:val="000000" w:themeColor="text1"/>
          <w:kern w:val="0"/>
          <w:sz w:val="28"/>
          <w:szCs w:val="28"/>
          <w14:textFill>
            <w14:solidFill>
              <w14:schemeClr w14:val="tx1"/>
            </w14:solidFill>
          </w14:textFill>
        </w:rPr>
        <w:t xml:space="preserve"> </w:t>
      </w:r>
    </w:p>
    <w:bookmarkEnd w:id="9"/>
    <w:p w14:paraId="6E807ADB">
      <w:pPr>
        <w:keepNext w:val="0"/>
        <w:keepLines w:val="0"/>
        <w:pageBreakBefore w:val="0"/>
        <w:widowControl w:val="0"/>
        <w:kinsoku/>
        <w:wordWrap/>
        <w:overflowPunct/>
        <w:topLinePunct w:val="0"/>
        <w:bidi w:val="0"/>
        <w:snapToGrid/>
        <w:spacing w:line="360" w:lineRule="auto"/>
        <w:textAlignment w:val="auto"/>
        <w:rPr>
          <w:rFonts w:ascii="宋体" w:hAnsi="宋体" w:cs="宋体"/>
          <w:color w:val="000000" w:themeColor="text1"/>
          <w:sz w:val="28"/>
          <w:szCs w:val="28"/>
          <w14:textFill>
            <w14:solidFill>
              <w14:schemeClr w14:val="tx1"/>
            </w14:solidFill>
          </w14:textFill>
        </w:rPr>
      </w:pPr>
    </w:p>
    <w:sectPr>
      <w:headerReference r:id="rId6" w:type="default"/>
      <w:pgSz w:w="11907" w:h="16840"/>
      <w:pgMar w:top="1440" w:right="1080" w:bottom="1440" w:left="1080" w:header="964" w:footer="851" w:gutter="0"/>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C70EBA">
    <w:pPr>
      <w:pStyle w:val="12"/>
      <w:jc w:val="center"/>
    </w:pPr>
    <w:r>
      <w:fldChar w:fldCharType="begin"/>
    </w:r>
    <w:r>
      <w:instrText xml:space="preserve">PAGE   \* MERGEFORMAT</w:instrText>
    </w:r>
    <w:r>
      <w:fldChar w:fldCharType="separate"/>
    </w:r>
    <w:r>
      <w:rPr>
        <w:lang w:val="zh-CN"/>
      </w:rP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70EC3A">
    <w:pPr>
      <w:pStyle w:val="12"/>
      <w:jc w:val="center"/>
    </w:pPr>
    <w:r>
      <w:rPr>
        <w:lang w:val="zh-CN"/>
      </w:rPr>
      <w:t xml:space="preserve"> </w:t>
    </w:r>
    <w:r>
      <w:rPr>
        <w:b/>
      </w:rPr>
      <w:fldChar w:fldCharType="begin"/>
    </w:r>
    <w:r>
      <w:rPr>
        <w:b/>
      </w:rPr>
      <w:instrText xml:space="preserve">PAGE</w:instrText>
    </w:r>
    <w:r>
      <w:rPr>
        <w:b/>
      </w:rPr>
      <w:fldChar w:fldCharType="separate"/>
    </w:r>
    <w:r>
      <w:rPr>
        <w:b/>
      </w:rPr>
      <w:t>1</w:t>
    </w:r>
    <w:r>
      <w:rPr>
        <w:b/>
      </w:rPr>
      <w:fldChar w:fldCharType="end"/>
    </w:r>
    <w:r>
      <w:rPr>
        <w:lang w:val="zh-CN"/>
      </w:rPr>
      <w:t xml:space="preserve"> / </w:t>
    </w:r>
    <w:r>
      <w:rPr>
        <w:rFonts w:hint="eastAsia"/>
        <w:b/>
      </w:rPr>
      <w:t>37</w:t>
    </w:r>
  </w:p>
  <w:p w14:paraId="724F6E56">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64EE00">
    <w:pPr>
      <w:pStyle w:val="1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851B5A">
    <w:pPr>
      <w:rPr>
        <w:highlight w:val="lightGray"/>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Q2Mjk4NGQxMjg4Yjg4NDQzZDRiNDEwMjU5YjdmNGYifQ=="/>
  </w:docVars>
  <w:rsids>
    <w:rsidRoot w:val="60640CC7"/>
    <w:rsid w:val="00025FD1"/>
    <w:rsid w:val="00046C00"/>
    <w:rsid w:val="00073AFA"/>
    <w:rsid w:val="00173716"/>
    <w:rsid w:val="00242F47"/>
    <w:rsid w:val="0025028C"/>
    <w:rsid w:val="002503F2"/>
    <w:rsid w:val="0028387F"/>
    <w:rsid w:val="00292969"/>
    <w:rsid w:val="0031483F"/>
    <w:rsid w:val="00341A7E"/>
    <w:rsid w:val="00352B28"/>
    <w:rsid w:val="003577A3"/>
    <w:rsid w:val="0038386C"/>
    <w:rsid w:val="00411813"/>
    <w:rsid w:val="00464351"/>
    <w:rsid w:val="0046536F"/>
    <w:rsid w:val="004D4AEB"/>
    <w:rsid w:val="00556A98"/>
    <w:rsid w:val="005C2B56"/>
    <w:rsid w:val="0062681C"/>
    <w:rsid w:val="006524C5"/>
    <w:rsid w:val="00666EF9"/>
    <w:rsid w:val="00677E89"/>
    <w:rsid w:val="007B49B4"/>
    <w:rsid w:val="007D4B63"/>
    <w:rsid w:val="007F0C01"/>
    <w:rsid w:val="008D3ECB"/>
    <w:rsid w:val="008F58A1"/>
    <w:rsid w:val="00925234"/>
    <w:rsid w:val="00984C99"/>
    <w:rsid w:val="009945B4"/>
    <w:rsid w:val="00A00B06"/>
    <w:rsid w:val="00A04525"/>
    <w:rsid w:val="00A25D28"/>
    <w:rsid w:val="00A41AF3"/>
    <w:rsid w:val="00A43E6C"/>
    <w:rsid w:val="00A500EF"/>
    <w:rsid w:val="00A748FB"/>
    <w:rsid w:val="00AB5A1E"/>
    <w:rsid w:val="00AC446C"/>
    <w:rsid w:val="00B04638"/>
    <w:rsid w:val="00B06994"/>
    <w:rsid w:val="00BF2AEE"/>
    <w:rsid w:val="00C11ABF"/>
    <w:rsid w:val="00C75B13"/>
    <w:rsid w:val="00CA4D9E"/>
    <w:rsid w:val="00E97960"/>
    <w:rsid w:val="00EC6971"/>
    <w:rsid w:val="00EE1121"/>
    <w:rsid w:val="00F60850"/>
    <w:rsid w:val="00F7135B"/>
    <w:rsid w:val="00FE7CA2"/>
    <w:rsid w:val="02AB3D4B"/>
    <w:rsid w:val="03DF1EFE"/>
    <w:rsid w:val="04461F7D"/>
    <w:rsid w:val="10592811"/>
    <w:rsid w:val="10BB784F"/>
    <w:rsid w:val="120A0C4F"/>
    <w:rsid w:val="12B96010"/>
    <w:rsid w:val="154F4A0A"/>
    <w:rsid w:val="15FD235B"/>
    <w:rsid w:val="16563B41"/>
    <w:rsid w:val="17B60D70"/>
    <w:rsid w:val="194D74B2"/>
    <w:rsid w:val="1D276AEF"/>
    <w:rsid w:val="253A3716"/>
    <w:rsid w:val="260B42C2"/>
    <w:rsid w:val="265529F6"/>
    <w:rsid w:val="26797B39"/>
    <w:rsid w:val="26E01966"/>
    <w:rsid w:val="28DC1A12"/>
    <w:rsid w:val="2B7B7EAF"/>
    <w:rsid w:val="2B9B22FF"/>
    <w:rsid w:val="2DFD104F"/>
    <w:rsid w:val="2E191A02"/>
    <w:rsid w:val="2F3B1E2F"/>
    <w:rsid w:val="2FD14541"/>
    <w:rsid w:val="31CD6F8B"/>
    <w:rsid w:val="32452FC5"/>
    <w:rsid w:val="33BA5704"/>
    <w:rsid w:val="35B90F66"/>
    <w:rsid w:val="37585548"/>
    <w:rsid w:val="3BC82C9D"/>
    <w:rsid w:val="40B97058"/>
    <w:rsid w:val="43A35B57"/>
    <w:rsid w:val="46306D46"/>
    <w:rsid w:val="46BF2EEE"/>
    <w:rsid w:val="48CB3DCC"/>
    <w:rsid w:val="4CDF7E46"/>
    <w:rsid w:val="4D3D2DBF"/>
    <w:rsid w:val="50BC4907"/>
    <w:rsid w:val="50DE6667"/>
    <w:rsid w:val="51E63A25"/>
    <w:rsid w:val="53AC65A8"/>
    <w:rsid w:val="54596730"/>
    <w:rsid w:val="54B95421"/>
    <w:rsid w:val="553E6869"/>
    <w:rsid w:val="56242D6E"/>
    <w:rsid w:val="56E04EE6"/>
    <w:rsid w:val="596E115E"/>
    <w:rsid w:val="59BB5797"/>
    <w:rsid w:val="5DB213CF"/>
    <w:rsid w:val="5E31427A"/>
    <w:rsid w:val="5E7E688E"/>
    <w:rsid w:val="60640CC7"/>
    <w:rsid w:val="623C46BE"/>
    <w:rsid w:val="641206A9"/>
    <w:rsid w:val="64A659A7"/>
    <w:rsid w:val="66794A10"/>
    <w:rsid w:val="673B7F17"/>
    <w:rsid w:val="693966D8"/>
    <w:rsid w:val="6AC326FD"/>
    <w:rsid w:val="6B7834E8"/>
    <w:rsid w:val="6BEA2E75"/>
    <w:rsid w:val="6E3000AA"/>
    <w:rsid w:val="6FA958A2"/>
    <w:rsid w:val="71874850"/>
    <w:rsid w:val="754D4055"/>
    <w:rsid w:val="779C67B0"/>
    <w:rsid w:val="7879089F"/>
    <w:rsid w:val="787C53BA"/>
    <w:rsid w:val="7B5DACE7"/>
    <w:rsid w:val="7B6B0CD4"/>
    <w:rsid w:val="7C594C70"/>
    <w:rsid w:val="7D697134"/>
    <w:rsid w:val="7EDB5E10"/>
    <w:rsid w:val="7F9E9E78"/>
    <w:rsid w:val="EFBF63BB"/>
    <w:rsid w:val="EFBFF8A7"/>
    <w:rsid w:val="F6E7CCA0"/>
    <w:rsid w:val="FCAD7B5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